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E-4770/2013 vom 27. September 2013</w:t>
      </w:r>
    </w:p>
    <w:p>
      <w:r>
        <w:t>Bundesverwaltungsgericht, 2013-09-27, DE</w:t>
      </w:r>
    </w:p>
    <w:p>
      <w:r>
        <w:rPr>
          <w:b/>
        </w:rPr>
        <w:t xml:space="preserve">Quelle: </w:t>
      </w:r>
      <w:r>
        <w:t>https://mcp.opencaselaw.ch/entscheid/bvger_E-4770_2013</w:t>
      </w:r>
    </w:p>
    <w:p>
      <w:r>
        <w:t>FR: TAF E-4770/2013 du 27 septembre 2013</w:t>
      </w:r>
    </w:p>
    <w:p>
      <w:r>
        <w:t>IT: TAF E-4770/2013 del 27 settembre 2013</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nachträglich erfahrener erheblicher Tatsachen und nachträglich aufgefundener entscheidender Beweismittel im Sinne von Art. 123 Abs. 2 Bst. a BGG geltend und tut die Rechtzeitigkeit des Revisionsbegehrens dar. Auf das im Übrigen frist- und formgerecht eingereichte Revisionsgesuch ist deshalb einzutreten.</w:t>
      </w:r>
    </w:p>
    <w:p>
      <w:r>
        <w:rPr>
          <w:b/>
        </w:rPr>
        <w:t>E. 3.1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müssen; als Revisionsgrund sind somit lediglich sogenannte unechte Nova zugelassen. Zum andern verlangt Art. 123 Abs. 2 Bst. a BGG, dass die gesuchstellende Partei die betref­fende Tatsache während des vorangegangenen Verfahrens, das heisst bis das Urteil gefällt worden ist, nicht gekannt hat und deshalb nicht beibringen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Auch bezüglich aufgefundener Beweismittel gilt das Kriterium, dass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Moser/Beusch/Kneubühler, a.a.O., Rz. 5.48, S. 250).</w:t>
      </w:r>
    </w:p>
    <w:p>
      <w:r>
        <w:rPr>
          <w:b/>
        </w:rPr>
        <w:t>E. 3.2</w:t>
      </w:r>
    </w:p>
    <w:p>
      <w:r>
        <w:t>Der Gesuchsteller macht in seinem Revisionsgesuch keine neue Tatsache geltend; vielmehr thematisiert er erneut die im ordentlichen Beschwerdeverfahren vorgebrachte Verurteilung in Abwesenheit zu einer Freiheitsstrafe von acht Jahren. Er reicht Dokumente zu den Akten, die dieses Vorbringen, welches im Beschwerdeverfahren tatsächlich unbewiesen geblieben ist, beweisen sollen. Es gilt zu prüfen, ob diese Beweismittel im revisionsrechtlichen Sinne neu und erheblich sind. Die Beilage 5 ist klarerweise nicht neu, da sie im Beschwerdeverfahren bereits eingereicht und dort gewürdigt worden ist (vgl. Bst. D). Bei den Beilagen 3 und 4 sowie 6 bis 9 handelt es sich um Fotokopien von handschriftlich ergänzten Fotokopien von Übersetzungen von in Kopie eingereichten Beweismitteln. Die Übersetzungen (ohne handschriftliche Ergänzungen) sind im ordentlichen Verfahren bereits eingereicht worden. Bei den handschriftlichen Ergänzungen handelt es sich gemäss Gesuchsbegründung um Übersetzungskorrekturen, welche vom aktuellen Rechtsvertreter angebracht worden seien, da die ursprüngliche Übersetzung durch den früheren Rechtsvertreter fehlerhaft ausgefallen sei. In diesem Zusammenhang stellt sich die Frage, ob ein im ordentlichen Beschwerdeverfahren eingereichtes Beweismittel durch Manipulation des Rechtsvertreters zu einem neuen Beweismittel wird. Diese Frage kann indes offen gelassen werden, weil es sich in casu, würde man die Frage bejahen, um nachträglich entstandene, nicht aber nachträglich aufgefundene Beweismittel handeln müsste. Gemäss dem klaren Wortlaut von Art. 123 Abs. 2 Bst. a in fine BGG wären sie im Revisionsverfahren nicht zugelassen. Ausserdem sind sie ohnehin als verspätet im Sinne von Art 46 VGG zu würdigen, da sich der Gesuchsteller allfällige Versehen seines (damaligen) Rechtsvertreters (so auch die geltend gemachten Übersetzungsfehler) zurechnen lassen muss. Darüber hinaus ist auch die Erheblichkeit der eingereichten Beweismittel ohne Weiteres zu verneinen, zumal diese nicht geeignet sind, den Beweis für die unbewiesen gebliebenen Tatsachen zu erbringen. Zwar beseitigen die "Korrekturen" bei den Übersetzungen zwei vom Bundesverwaltungsgericht in seinem Urteil vom 11. Juli 2013 beanstandete Unglaubhaftigkeitselemente (Referenznummer und Name des Gesuchstellers). Dem sind aber zwei Dinge entgegenzuhalten: Erstens ist nicht nachvollziehbar, dass der frühere Rechtsvertreter zwar imstande gewesen sein soll, den Inhalt richtig wiederzugeben, aber nicht in der Lage, Zahlen richtig zu übersetzen. Zweitens kommt den entsprechenden Unglaubhaftigkeitselementen nur eine untergeordnete unselbständige Bedeutung zu. Die wesentlichen Argumente, welche zur Verneinung der Glaubhaftigkeit geführt haben (geringer Beweiswert, da lediglich Kopien, innerer Widerspruch unter den Dokumenten, etc. vgl. Bst. D), werden von den korrigierten Übersetzungen nämlich nicht ansatzweise entkräftet. Die Beilagen 10 und 11 sind schliesslich klarerweise verspätet, zumal sie nur deshalb nicht bereits im Beschwerdeverfahren eingereicht worden sind, weil es der damalige Rechtsvertreter unterlassen hat, sie einzureichen. Nicht nur muss sich der Gesuchsteller die Versäumnisse seines Vertreters anrechnen lassen. Anders zu entscheiden, hiesse auch, dass ein abgewiesener Asylsuchender durch das Zurückhalten von Beweismitteln für sich einen Revisionsgrund schaffen könnte. Davon abgesehen, ist auch die Erheblichkeit dieser Beweismittel ohne Weiteres zu verneinen, da sie sich nicht auf den Gesuchsteller persönlich oder seinen Strafprozess im Irak beziehen. Nach dem Gesagten erweist sich das Revisionsgesuch in mehrfacher Hinsicht als unbegründet.</w:t>
      </w:r>
    </w:p>
    <w:p>
      <w:r>
        <w:rPr>
          <w:b/>
        </w:rPr>
        <w:t>E. 4</w:t>
      </w:r>
    </w:p>
    <w:p>
      <w:r>
        <w:t>Zusammenfassend ist festzuhalten, dass keine revisionsrechtlich relevanten Gründe dargetan sind. Das Gesuch um Revision des Urteils des Bundesverwaltungsgerichts vom 11. Juli 2013 ist demzufolge abzuweisen. 5.Nach dem Gesagten erweisen sich die gestellten Rechtsbegehren als aussichtslos, so dass das Gesuch um Gewährung der unentgeltlichen Rechtspflege im Sinne von Art. 65 Abs. 1 und 2 VwVG - ungeachtet einer allenfalls bestehenden prozessualen Bedürftigkeit - abzuweisen ist. Das Gesuch um Verzicht auf die Erhebung eines Kostenvorschusses wird mit dem vorliegenden Direktentscheid hinfällig. 6.Bei diesem Ausgang des Verfahrens sind die Kosten von Fr. 1200.- dem Gesuchsteller aufzuerlegen (Art. 37 VGG i.V.m.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