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E-4769/2015 vom 16. März 2016</w:t>
      </w:r>
    </w:p>
    <w:p>
      <w:r>
        <w:t>Bundesverwaltungsgericht, 2016-03-16, DE</w:t>
      </w:r>
    </w:p>
    <w:p>
      <w:r>
        <w:rPr>
          <w:b/>
        </w:rPr>
        <w:t xml:space="preserve">Quelle: </w:t>
      </w:r>
      <w:r>
        <w:t>https://mcp.opencaselaw.ch/entscheid/bvger_E-4769_2015</w:t>
      </w:r>
    </w:p>
    <w:p>
      <w:r>
        <w:t>FR: TAF E-4769/2015 du 16 mars 2016</w:t>
      </w:r>
    </w:p>
    <w:p>
      <w:r>
        <w:t>IT: TAF E-4769/2015 del 16 marzo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ihre frist- und formgerecht eingereichte Beschwerde ist einzutreten (Art. 108 Abs. 1 AsylG und Art. 52 VwVG).</w:t>
      </w:r>
    </w:p>
    <w:p>
      <w:r>
        <w:rPr>
          <w:b/>
        </w:rPr>
        <w:t>E. 1.2</w:t>
      </w:r>
    </w:p>
    <w:p>
      <w:r>
        <w:t>Gestützt auf Art. 33a Abs. 2 VwVG i.V.m. Art. 6 AsylG ergeht der vorliegende Entscheid in deutscher Sprache.</w:t>
      </w:r>
    </w:p>
    <w:p>
      <w:r>
        <w:rPr>
          <w:b/>
        </w:rPr>
        <w:t>E. 1.3</w:t>
      </w:r>
    </w:p>
    <w:p>
      <w:r>
        <w:t>Die Kognition des Bundesverwaltungsgerichts und die zulässigen Rügen richten sich im Asylbereich nach Art. 106 Abs. 1 AsylG (Zur Kognition im Auslandverfahren vgl. BVGE 2015/2).</w:t>
      </w:r>
    </w:p>
    <w:p>
      <w:r>
        <w:rPr>
          <w:b/>
        </w:rPr>
        <w:t>E. 1.4</w:t>
      </w:r>
    </w:p>
    <w:p>
      <w:r>
        <w:t>Die Beschwerde erweist sich nach Kenntnis aller Akten als offensichtlich unbegründet und ist im Verfahren einzelrichterlicher Zuständigkeit mit Zustimmung eines zweiten Richters (Art. 111 Bst. e AsylG) ohne Weiterungen und mit summarischer Begründung zu behandeln (Art. 111a Abs. 1 und 2 AsylG). 2.1 Die Möglichkeit, im Ausland ein Asylgesuch bei einer Schweizer Vertretung zu stellen, ist mit Wirkung ab 29. September 2012 aufgehoben worden, wobei für Asylgesuche, die - wie vorliegend (Asylgesuchseingang Botschaft: 1. Juli 2011) - vor dem Inkrafttreten gestellt worden sind, die Art. 12, 19, 20, 41 Abs. 2, Art. 52 und 68 in der bis am 28. September 2012 gültigen Fassung des Asylgesetzes gelten (Übergangsbestimmung zur Änderung vom 28. September 2012; AS 2012 5359). 2.2 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 2.3 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2.4 Beim Entscheid 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3.1</w:t>
      </w:r>
    </w:p>
    <w:p>
      <w:r>
        <w:t>Die Vorinstanz verneinte in der angefochtenen Verfügung eine akute Gefährdung der Beschwerdeführerin, denn es fehle ihr an der erforderlichen Schutzbedürftigkeit. So seien ihre Schwierigkeiten mit den Behörden nicht glaubhaft, denn sie habe ihre Probleme anlässlich der Anhörung widersprüchlich und konfus vorgetragen, ihre Kontakte zu Behörden, Polizei, CID und Armee verworren geschildert. Es sei nicht zu erkennen, weshalb die sri-lankischen Sicherheitsbehörden an ihr ein Interesse haben sollten. Zudem seien hinter den Taten wie beispielsweise dem Durchschneiden eines Zaunes eher Vandalen zu vermuten. Sicherheitskräfte wären anders vorgegangen. Bezeichnenderweise habe sie zu Protokoll gegeben, keine konkreten persönlichen Probleme mit Sicherheitskräften gehabt zu haben. Ihre Aussagen vermittelten den Eindruck, dass sie sich als alleinerziehende Mutter mit drei Kindern in einer schwierigen Lage befinde und die Probleme mit den Behörden erfinde. Die weiter dargelegten Umstände beträfen allgemeine Nachteile und insofern humanitäre Überlegungen, die nicht einreisebeachtlich im Sinne von Art. 3 AsylG seien. Ausserdem bestünden innerstaatliche Aufenthaltsalternativen.</w:t>
      </w:r>
    </w:p>
    <w:p>
      <w:r>
        <w:rPr>
          <w:b/>
        </w:rPr>
        <w:t>E. 3.2</w:t>
      </w:r>
    </w:p>
    <w:p>
      <w:r>
        <w:t>Was die Beschwerdeführerin in ihrer Beschwerde dagegen vorbringt, ist nicht geeignet, die vorinstanzlichen Erwägungen in Frage zu stellen. Einerseits handelt es sich bei den Behauptungen um Wiederholungen bekannter Vorbringen, ohne diese weiter substanziell zu vertiefen; aufgrund der bisher verworrenen und vagen Schilderungen der Ereignisse, bleiben diese Vorfälle somit nicht glaubhaft. Anderseits behauptet die Beschwerdeführerin, Unbekannte seien während ihrer Ortsabwesenheit vom (...) 2015 in ihr Haus eingebrochen. Sie hätten es geplündert und verwüstet. Sie habe Kenntnis, dass einige der Täter mit den Sicherheitskräften und paramilitärischen Gruppen zu tun hätten. Sie habe sich gefürchtet, in diesem Zusammenhang die Polizei zu benachrichtigen, da diese gegenüber den Tätern freundlich gesinnt sei. Letzte Woche habe sie eine neue Todesdrohung erhalten. Ihr Rückruf sei nicht beantwortet worden. Sie fürchte sich vor erheblichen Nachteilen. Die stereotypen Behauptungen der Beschwerdeführerin, wonach sie nach wie vor von den Sicherheitskräften (CID, Polizei), der PLOTE oder von paramilitärischen Organisationen bedroht sei, sind mangels Substanz und Realkennzeichen nicht glaubhaft. Es bestehen keine substanziellen Angaben in Bezug auf die Täterschaften vom (...) 2015 und die Morddrohung kurz vor dem Zeitpunkt der Beschwerdeerhebung. Im erwähnten Kontext erklärt sie nicht, woher sie die Täter nun plötzlich kennen soll und weshalb sie behaupten könne, die Sicherheitskräfte würden zu diesen Tätern freundschaftliche Beziehungen unterhalten. Ihre Mutmassungen, vagen und pauschalen Beschriebe der Vorfälle überzeugen nicht. Die oberflächlichen Angaben passen ins bisher gewonnene Bild über die Beschwerdeführerin. Hätten die sri-lankischen Sicherheitsbehörden ihre Person tatsächlich im Visier gehabt, hätten sie sie offiziell zu Hause aufgesucht oder sie auf ihr Amt vorgeladen und dort eingehend verhört. Dabei wären wohl auch ihre älteren Kinder hinzugezogen und befragt worden. Von einem solchen Vorgehen war indessen keine Rede gewesen. Weiter stellen die LTTE, deren Nachfolgeorganisationen oder die von ihr abgespaltenen Bewegungen seit ihrem militärischen Untergang (2009) keine Machtfaktoren mehr dar. Da sie nach Beendigung des Krieges offensichtlich nicht als eine Angehörige der LTTE gilt und ihr Mann seit 2008 nicht mehr lebt, besteht kein Grund, sich vor den sri-lankischen Behörden zu fürchten. Seit der Wiederansiedlung der Beschwerdeführerin in B._______ und einer fotographischen Erfassung ist somit keine erhebliche Aktion oder Massnahme der Sicherheitskräfte, der SLA oder anderer Organisationen ihr gegenüber glaubhaft gemacht worden. Soweit sie nach wie vor daran festhält, dass sie in Sri Lanka Übergriffsversuchen von Sicherheitskräften oder unbekannten Dritten ausgesetzt sei, ist ihr deshalb entgegenzuhalten, dass es ihr im heutigen politischen und rechtlichen Umfeld zuzumuten ist, sich gegen Drohungen, Vandalenakte und sonstige Handlungen Unbekannter auf dem Rechtsweg zur Wehr zu setzen. Die von ihr beschriebenen Ereignisse stellen damit nicht nur unglaubhafte, sondern zugleich keine genügend intensiven Nachteile im Sinne des Asylgesetzes dar. Weiter wäre aus ihren Angaben nicht zu folgern, dass ihr die Bewegungsfreiheit oder ihre Rechte von den Behörden je eingeschränkt worden wären, weshalb sie allfällig lokal oder regional bedingten Problemen auch durch eine Wohnsitzverlegung innerstaatlich ausweichen könnte. Sie gehört damit nicht zu einer der Risikogruppen, die einer Verfolgungsgefahr ausgesetzt sein können (vgl. dazu BVGE 2011/24 E. 2). Hinsichtlich der Lebensumstände in Sri Lanka ist festzuhalten, dass die Situation nach dem Ende des Bürgerkriegs (Mai 2009) für jede tamilische Staatsangehörige, namentlich für eine alleinerziehende Mutter mit drei Kindern, nicht einfach ist, was aber nicht gegen die Zumutbarkeit eines weiteren Verbleibs in Sri Lanka sprechen könnte. Zudem stammt sie aus der Vavuniya-Gegend, in der keine Situation allgemeiner Gewalt herrscht und die politische Lage nicht dermassen angespannt wäre, dass ein dortiges Leben als unzumutbar eingestuft werden müsste (vgl. BVGE 2011/24 E. 13.2.1). Eine schwierige finanzielle Lebenssituation und entsprechende humanitäre Überlegungen stellen praxisgemäss keinen ausreichenden Grund für eine Bewilligung der Einreise dar.</w:t>
      </w:r>
    </w:p>
    <w:p>
      <w:r>
        <w:rPr>
          <w:b/>
        </w:rPr>
        <w:t>E. 3.3</w:t>
      </w:r>
    </w:p>
    <w:p>
      <w:r>
        <w:t>Weiter besteht kein Anknüpfungspunkt zur Schweiz.</w:t>
      </w:r>
    </w:p>
    <w:p>
      <w:r>
        <w:rPr>
          <w:b/>
        </w:rPr>
        <w:t>E. 3.4</w:t>
      </w:r>
    </w:p>
    <w:p>
      <w:r>
        <w:t>Zusammenfassend benötigt die Beschwerdeführerin nicht den Schutz der Schweiz. Die Vorinstanz hat ihr zu Recht die Einreise in die Schweiz verweigert und ihr Asylgesuch abgelehnt.</w:t>
      </w:r>
    </w:p>
    <w:p>
      <w:r>
        <w:rPr>
          <w:b/>
        </w:rPr>
        <w:t>E. 4</w:t>
      </w:r>
    </w:p>
    <w:p>
      <w:r>
        <w:t>Aus diesen Erwägungen ergibt sich, dass die angefochtene Verfügung Bundesrecht nicht verletzt und auch sonst nicht zu beanstanden ist (Art. 106 Abs. 1 AsylG). Die Beschwerde ist abzuweisen.</w:t>
      </w:r>
    </w:p>
    <w:p>
      <w:r>
        <w:rPr>
          <w:b/>
        </w:rPr>
        <w:t>E. 5</w:t>
      </w:r>
    </w:p>
    <w:p>
      <w:r>
        <w:t>Bei diesem Ausgang des Verfahrens wären die Kosten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