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E-4761/2006 vom 30. Juni 2008</w:t>
      </w:r>
    </w:p>
    <w:p>
      <w:r>
        <w:t>Bundesverwaltungsgericht, 2008-06-30, DE</w:t>
      </w:r>
    </w:p>
    <w:p>
      <w:r>
        <w:rPr>
          <w:b/>
        </w:rPr>
        <w:t xml:space="preserve">Quelle: </w:t>
      </w:r>
      <w:r>
        <w:t>https://mcp.opencaselaw.ch/entscheid/bvger_E-4761_2006</w:t>
      </w:r>
    </w:p>
    <w:p>
      <w:r>
        <w:t>FR: TAF E-4761/2006 du 30 juin 2008</w:t>
      </w:r>
    </w:p>
    <w:p>
      <w:r>
        <w:t>IT: TAF E-4761/2006 del 30 giugno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am 31. Dezember 2006 bei der ARK hängigen Rechtsmittel übernommen. Das neue Verfahrensrecht ist anwendbar (vgl. Art. 53 Abs. 2 VGG).</w:t>
      </w:r>
    </w:p>
    <w:p>
      <w:r>
        <w:rPr>
          <w:b/>
        </w:rPr>
        <w:t>E. 1.3</w:t>
      </w:r>
    </w:p>
    <w:p>
      <w:r>
        <w:t>Der Beschwerdeführer ist durch die angefochtene Verfügung be-rührt, hat ein schutzwürdiges Interesse an deren Aufhebung bezie-hungsweise Änderung und ist daher zur Einreichung der Beschwerde legitimiert (Art. 6 AsylG i.V.m. Art. 48 Abs. 1VwVG). Auf die im Übrigen form- und fristgerecht eingereichte Beschwerde ist einzutreten (Art. 108 Abs. 2 AsylG und Art. 6 AsylG i.V.m. Art. 52 VwVG)</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ihres ablehnenden Ent-scheides im Wesentlichen aus, es sei nicht auszuschliessen, dass die Behörden aufgrund der Sympathie des Beschwerdeführers für die TKP/ML ein Auge auf ihn geworfen hätten. Dessen Schilderungen müssten jedoch als Überzeichnung der Situation gewertet werden. Beispielsweise seien seine Angaben hinsichtlich der Ermordung sei-nes Vaters spekulativ geblieben. Gerade infolge des Umstandes, dass der Staat den Täter zu einer langjährigen Haftstrafe verurteilt hätte, erscheine die Behauptung des Beschwerdeführers, diese Tat sei den Behörden zuzuschreiben, unglaubwürdig. Weiter habe der Beschwer-deführer keine überzeugenden Gründe angeben können, weshalb er den lokalen Problemen in seinem Heimatort nicht durch einen Wegzug an einen anderen Ort der Türkei hätte aus dem Wege gehen können. Zwar könne nicht ausgeschlossen werden, dass er auch in anderen Städten Personenkontrollen ausgesetzt gewesen sei und dabei auch Bemerkungen zu seiner Herkunft gefallen seien, aber diese Behelli-gungen seien infolge ihrer geringen Intensität nicht asylrelevant. Dass gegen den Beschwerdeführer auch in Elbistan kein konkreter Tatver-dacht bestanden habe, ergebe sich bereits daraus, dass er immer wie-er schnell freigelassen worden sei. Bekanntlich würden die türkischen Behörden im Rahmen der Bekämpfung der PKK gegen mutmassliche Teilnehmer an strafbaren Handlungen äusserst konsequent vorgehen. Die Vorbringen des Beschwerdeführers würden daher den Anforderun-gen an die Glaubhaftigkeit gemäss Art. 7 AsylG nicht standhalten. So-mit könne auch der Grundsatz der Nichtrückschiebung gemäss Art. 5 Abs. 1 AsylG nicht angewendet werden. Weiter sei der Wegweisungs-vollzug weder unzulässig, noch unzumutbar oder unmöglich.</w:t>
      </w:r>
    </w:p>
    <w:p>
      <w:r>
        <w:rPr>
          <w:b/>
        </w:rPr>
        <w:t>E. 3.2</w:t>
      </w:r>
    </w:p>
    <w:p>
      <w:r>
        <w:t>In der Beschwerde wird der Argumentation der Vorinstanz Folgen-des entgegengehalten: Der Beschwerdeführer sei in der Türkei in Le-bensgefahr gewesen, weshalb er habe flüchten müssen. Grundlos und ohne Beweise sei er von der Polizei beschuldigt worden. Er habe des-wegen sogar das Gymnasium aufgeben müssen. Im Jahre 1985 sei sein Vater von Extremisten getötet worden, so dass der Beschwerde-führer in der Türkei nicht mehr sicher gewesen sei. Die Mörder seines Vaters seien immer noch auf freiem Fuss. Im Jahre 2002 sei sein Bruder verhaftet worden. Zwar habe man ihn wieder freigelassen, aber er habe keine Ruhe mehr gehabt. Die gesamte Familie könne in der Türkei - als Aleviten und Kurden - nicht ungestört und gefahrlos leben. Deshalb hoffe der Beschwerdeführer auf Hilfe, zumal er alles beweisen könne und als ältester Sohn in grösster Gefahr schwebe.</w:t>
      </w:r>
    </w:p>
    <w:p>
      <w:r>
        <w:rPr>
          <w:b/>
        </w:rPr>
        <w:t>E. 3.3</w:t>
      </w:r>
    </w:p>
    <w:p>
      <w:r>
        <w:t>Die generellen Voraussetzungen, die erfüllt sein müssen, damit ein Asylsuchender in der Schweiz als Flüchtling anerkannt werden kann, sind vorstehend erwähnt. Anzufügen bleibt Folgendes: Neben der unmittelbaren Verfolgung durch den Heimat- oder Herkunftsstaat anerkennt die schweizerische Praxis auch die mittelbare Verfolgung, beispielsweise durch dem Staat nahestehende und von diesem unter-stützte Todesschwadronen (vgl. dazu Entscheidungen und Mitteilungen der Schweizerischen Asylrekurskommission [EMARK] 1998 Nr. 17) oder vom Staat gebilligte oder auch nur tatenlos hingenommene Ver-folgung durch Dritte (EMARK 1995 Nr. 1) sowie die quasi-staatliche Verfolgung (EMARK 1995 Nr. 2) und die nicht-staatliche Verfolgung bei fehlender Schutzfähigkeit des Staates (EMARK 2006 Nr. 18). Mit letz-terem Urteil hat sich die Schweiz der Schutztheorie angeschlossen, welche besagt, dass Verfolgung im flüchtlingsrechtlichen Sinn nicht von der Frage ihres Urhebers, sondern vom Vorhandensein adäquaten Schutzes im Heimat- oder Herkunftsstaat abhängt. Mit dem Übergang von der Zurechenbarkeits- zur Schutztheorie erübrigt sich die Frage nach dem Urheber der Verfolgung jedoch nicht. Ist die Verfolgung nicht dem Staat oder Quasi-Staat zuzurechnen, ist in einem zweiten Schritt die Verfügbarkeit des staatlichen Schutzes zu prüfen, wobei die ver-folgte Person den erforderlichen staatlichen Schutz auch an einem an-deren Ort im Heimatland erhalten kann. Die Umschreibung der Verfol-gung als ernsthafte Nachteile für die zentralsten Rechtsgüter macht weiter klar, dass eine gewisse Intensität der Eingriffe für die Anerken-nung als Flüchtling vorauszusetzen ist. Während Massnahmen, wie sie in Art. 3 der Konvention vom 4. November 1950 zum Schutze der Men-schenrechte und Grundfreiheiten (EMRK, SR 0.101) umschrieben wer-den (Folter, unmenschliche und erniedrigende Handlung), die erforder-liche Intensität ohne weiteres zuzusprechen ist, ist bei geringeren Ein-griffen in die genannten Rechtsgüter - wie Freiheitsentzug, Schläge und sexuelle Belästigungen - die physische oder psychische Beein-trächtigung in Relation zu ihrer Dauer und Häufigkeit sowie zu den gesamten Umständen (unter Einbezug der individuellen Empfindlich- und Verletzlichkeit) zu setzen. Massnahmen, welche einen unerträgli-chen psychischen Druck bewirken, müssen sich demgegenüber nicht gegen eines der drei namentlich aufgeführten Rechtsgüter Leib, Leben und Freiheit richten. Da es aber auch bei diesem Tatbestand um ein-schneidende Eingriffe gehen muss, sind gemäss der von der ARK fest-gelegten und vom Bundesverwaltungsgericht weitergeführten Praxis grundsätzlich hohe Anforderungen an solche Verfolgungsmassnahmen zu stellen: Sie müssen derart ernsthaft und intensiv sein, dass damit dem Betroffenen ein menschenwürdiges Leben verunmöglicht wird (EMARK 1996 Nr. 28). Zudem bedarf es der Aktualität der Verfolgungs-situation. Die Furcht vor Verfolgung muss im Zeitpunkt der Flucht aus dem Verfolgerstaat bestanden und bis zum Zeitpunkt des Asylent-scheides angedauert haben. Vom Bestehen der begründeten Furcht im Zeitpunkt der Ausreise wird in der Regel ausgegangen, wenn zwi-schen einer erfolgten Verfolgungsmassnahme oder der Kenntnisnahme einer Verfolgungsgefahr und der Ausreise ein zeitlicher und sachlicher Zusammenhang besteht.</w:t>
      </w:r>
    </w:p>
    <w:p>
      <w:r>
        <w:rPr>
          <w:b/>
        </w:rPr>
        <w:t>E. 3.4</w:t>
      </w:r>
    </w:p>
    <w:p>
      <w:r>
        <w:t>Die vom Beschwerdeführer geltend gemachten Behelligungen durch türkische Sicherheitskräfte vermögen - wie bereits die Vorins-tanz zutreffend festgestellt hat - den Anforderungen an die Flüchtlings-eigenschaft nicht standzuhalten. Es wird nicht bestritten, dass die Familie des Beschwerdeführers auf-grund ihrer Ethnie, ihres Glaubens sowie ihrer Herkunft in der Türkei Opfer von Schikanen durch die Behörden gewesen ist. Es ist durch-aus plausibel, dass sich der Beschwerdeführer mehrfach hat kontrol-lieren lassen müssen und für kurze Zeit festgenommen sowie das Haus seiner Familie durchsucht worden ist. Aufgrund der insgesamt geringen Eingriffe in die physische Bewegungsfreiheit und des zeitli-chen Abstandes haben diese Vorfälle jedoch nicht dazu geführt, dass dem Beschwerdeführer dadurch ein menschenwürdiges Leben in der Türkei verunmöglicht oder in unzumutbarer Weise erschwert worden wäre. Er wurde eigenen Aussagen zufolge nach den Festnahmen je-weils einige Tage später wieder freigelassen. Auch der Umstand, dass sein Vater ermordet worden ist, ist nicht asylrelevant. Einerseits fehlt es an der zeitlichen Kausalität, liegt die Tat doch - trotz nicht ganz stimmigen Angaben hinsichtlich der Jahreszahl - über 20 Jahre zu-rück. Zudem konnte der Beschwerdeführer nicht glaubhaft machen, dass der Staat für das Attentat verantwortlich ist. Zur Vermeidung von Wiederholungen kann diesbezüglich auf die zutreffenden Erwägungen der Vorinstanz verwiesen werden. Weiter kann aus den im Beschwerdeverfahren eingereichten Beweis-mitteln zugunsten des Beschwerdeführers nichts abgeleitet werden. Auch ist den aus dem Internet stammenden Dokumenten zu entneh-men, dass die Mehrheit der Türken "keine manifesten Feindseligkeit-en" gegenüber (...) Minderheiten zeigen. Die Attentäter von Malatya sollen denn auch aus religiös-nationalistischen Kreisen stammen. Ausserdem sollen nun viele (...) Gemeinden in der Türkei von der Polizei geschützt werden. Des Weiteren handelt es sich beim Beschwerdeführer weder um einen Missionar, noch um einen Pfarrer, so dass nicht davon auszugehen ist, dass er bei einer Rückkehr in sein Heimatland einem besonderen Anschlagsrisiko ausgesetzt wäre; er hat sich vor seiner Ausreise nie exponiert. Mithin erhellt, dass das Bundesamt das Asylgesuch zu Recht abgelehnt hat.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5.2.1</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seinen Heimatstaat ist demnach unter dem Aspekt von Art. 5 AsylG rechtmässig. Sodann ergeben sich weder aus den Aussagen des Beschwerdeführers noch aus den Akten Anhaltspunkte dafür, dass er für den Fall einer Ausschaffung in seinen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5.3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Angesichts der heutigen Lage in der Türkei kann nicht von einer Situation allgemeiner Gewalt oder von kriegerischen oder bürger-kriegsähnlichen Verhältnissen gesprochen werden, welche für den Be-schwerdeführer bei einer Rückkehr eine konkrete Gefährdung darstel-len würde (vgl. die weiterhin zutreffende Lagebeurteilung in EMARK 2004 Nr. 8). Eigenen Angaben zufolge leben seine Mutter, drei Schwestern sowie ein Bruder in (...). Der Beschwerdeführer verfügt folglich in der Türkei über ein intaktes soziales Beziehungsnetz und wird für die wirtschaftliche Reintegration auf die Unterstützung seiner Familie zählen können. Es sind somit auch keine persönlichen Gründe ersichtlich, die gegen die Rückkehr des Beschwerdeführers sprechen. Nach dem Gesagten erweist sich der Vollzug der Wegweisung auch als zumutbar.</w:t>
      </w:r>
    </w:p>
    <w:p>
      <w:r>
        <w:rPr>
          <w:b/>
        </w:rPr>
        <w:t>E. 5.4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6</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dessen Kosten von Fr. 600.-- (Art. 1-3 des Reglements vom 21. Februar 2008 über die Kosten und Entschädigungen vor dem Bundesverwaltungsgericht [VGKE, SR 173.320.2]) dem Beschwerdeführer aufzuerlegen (Art. 63 Abs. 1 VwVG). Nachdem aber aufgrund der Aktenlage von der Bedürf-tigkeit des Beschwerdeführers auszugehen ist und die Beschwerde nicht als aussichtslos bezeichnet werden konnte, ist in Gutheissung des Gesuchs um Gewährung der unentgeltlichen Rechtspflege von einer Kostenauflage abzusehen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