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E-4759/2014 vom 1. April 2015</w:t>
      </w:r>
    </w:p>
    <w:p>
      <w:r>
        <w:t>Bundesverwaltungsgericht, 2015-04-01, DE</w:t>
      </w:r>
    </w:p>
    <w:p>
      <w:r>
        <w:rPr>
          <w:b/>
        </w:rPr>
        <w:t xml:space="preserve">Quelle: </w:t>
      </w:r>
      <w:r>
        <w:t>https://mcp.opencaselaw.ch/entscheid/bvger_E-4759_2014</w:t>
      </w:r>
    </w:p>
    <w:p>
      <w:r>
        <w:t>FR: TAF E-4759/2014 du 1 avril 2015</w:t>
      </w:r>
    </w:p>
    <w:p>
      <w:r>
        <w:t>IT: TAF E-4759/2014 del 1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der nachstehenden Erwägung einzutreten. In der Beschwerde wird gerügt, das BFM habe den Sachverhalt nicht rechtsgenüglich abgeklärt, da es die Kinder I._______ und C._______ nicht angehört habe. Diese Rüge betrifft nicht das vorliegende Verfahren, sondern jenes der Lebenspartnerin und ihrer Kinder (E-4737/2014). Auf das Begehren, die angefochtene Verfügung sei aus dem genannten Grund aufzuheben und die Sache an die Vorinstanz zurückzuweisen, ist nicht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der Beschwerdeführer mache im zweiten Asylgesuch erneut geltend, in der Türkei Opfer eines "Ehrenmordes" zu werden. Seine diesbezüglichen Aussagen im ersten Asylverfahren seien als unglaubhaft qualifiziert worden, die Glaubhaftigkeit der Asylgründe könne jedoch offen bleiben. Er mache eine Verfolgung durch einen nicht-staatlichen Akteur geltend (den Ehemann seiner Lebenspartnerin und seine Familie). Wie im Urteil des Bundesverwaltungsgerichts E-6948/2013 vom 25. Januar 2014 dargelegt worden sei, stehe es dem Beschwerdeführer frei, sich in einer anderen Gegend, namentlich im Westen der Türkei, niederzulassen. Seine diesbezüglichen Einwände, er könnte im Westen leicht von seinen Verwandten aufgespürt werden, gelte als blosse Behauptung. Falls er dennoch von seinen Verwandten aufgespürt werden sollte, hätte er die Möglichkeit, sich an die zuständigen türkischen Behörden zu wenden, welche entschlossen seien, gegen das Phänomen der "Ehrenmorde" effektiv vorzugehen und grundsätzlich in der Lage seien, Schutz zu gewähren. Die Vorbringen seien somit nicht als asylrelevant zu qualifizieren und würden den Anforderungen an die Flüchtlingseigenschaft nicht standhalten.</w:t>
      </w:r>
    </w:p>
    <w:p>
      <w:r>
        <w:rPr>
          <w:b/>
        </w:rPr>
        <w:t>E. 4.2</w:t>
      </w:r>
    </w:p>
    <w:p>
      <w:r>
        <w:t>In der Beschwerde wird hinsichtlich einer Verfolgung des Beschwerdeführers nichts vorgebracht. Indessen wird geltend gemacht, der unerträgliche psychische Druck für die Kinder, welcher vorliegend Verfolgung darstelle, werde in der angefochtenen Verfügung nicht gewürdigt. Dabei sei die Schutzfähigkeit des türkischen Staates von sekundärer Bedeutung. Diese Verfolgung sei mit überwiegender Wahrscheinlichkeit glaubhaft gemacht worden. Die Vorinstanz wäre gemäss KRK verpflichtet gewesen, das Kindeswohl zu berücksichtigen. Die eingereichten Berichte würden klar belegen, dass eine Rückkehr in die Türkei eine massive Gefährdung des Kindeswohls bedeuten würde. Seine Lebensgefährtin wäre zudem nicht in der Lage, ihre Kinder in der Türkei angemessen zu unterstützen, da sie selbst psychiatrische Behandlung benötige und nach dem negativen Entscheid des BFM vom 23. Juli 2014 in eine psychiatrische Klinik habe eingewiesen werden müssen. Die Kinder könnten in der Türkei keine menschenwürdige kinderspezifische psychiatrische Therapie erhalten, was für ihre positive Weiterentwicklung jedoch unabdingbar wäre. Des Weiteren drohe die Gefahr, dass das Sorgerecht dem Vater der Kinder zugesprochen werde. Den Kindern würden deshalb schwerwiegende Nachteile drohen. Auf die Schutzfähigkeit des türkischen Staates könne auch hier nicht verwiesen werden, da es nicht genüge, dass die rechtliche Situation die Kinder theoretisch schütze, und da der staatliche Schutz in der Praxis versage.</w:t>
      </w:r>
    </w:p>
    <w:p>
      <w:r>
        <w:rPr>
          <w:b/>
        </w:rPr>
        <w:t>E. 4.3</w:t>
      </w:r>
    </w:p>
    <w:p>
      <w:r>
        <w:t>Vorliegend stellt sich die Frage, ob seit Abschluss des ersten Asylverfahrens Ereignisse eingetreten sind, welche die Flüchtlingseigenschaft zu begründen vermögen oder für die Gewährung vorübergehenden Schutzes von Bedeutung sind. Für eine erneute Beurteilung von bereits rechtskräftig beurteilten Sachverhalten besteht im Rahmen dieses Verfahrens kein Raum. Der Beschwerdeführer machte im zweiten Asylverfahren keine neuen Ereignisse oder Verfolgungsmomente geltend. Die Vorbringen bezogen sich ausschliesslich auf eine allfällige Gefährdung der Kinder seiner Lebenspartnerin. Es bestehen demnach keine Hinweise, welche geeignet sein könnten, seine Flüchtlingseigenschaft zu begründen. Die Vorinstanz stellte zu Recht fest, dass er die Flüchtlingseigenschaft nicht erfüllt, und lehnte folgerichtig sein zweites Asylgesuch ab.</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6.3.2 Angesichts der heutigen Lage in der Türkei kann gemäss konstanter Praxis nicht von einer Situation allgemeiner Gewalt oder kriegerischen respektive bürgerkriegsähnlichen Verhältnissen gesprochen werden. Auch wenn die Lage für die Angehörigen der kurdischen Ethnie in der Türkei angespannt bleibt, ist, abgesehen von einzelnen Gebieten (vgl. BVGE 2013/2 E. 9.6), nicht von einer Situation allgemeiner Gewalt auszugehen, die einen Wegweisungsvollzug von Asylsuchenden kurdischer Ethnie generell als unzumutbar erscheinen lassen würde (vgl. Urteile des Bundesverwaltungsgerichts D-1041/2014 vom 7. Mai 2014 E. 7.4 undD-1455/2013 vom 23. Januar 2014 E. 6.2.1). 6.3.3 Der Beschwerdeführer verliess die Türkei im April 2012; er befindet sich mithin seit bald drei Jahren in der Schweiz. Vorliegend bestehen keine Hinweise darauf, seine Situation hätte sich seit dem Urteil E-6948/2013 vom 25. Februar 2014 verändert. Der Beschwerdeführer macht dies auch nicht geltend. Es kann deshalb bezüglich der Zumutbarkeit des Wegweisungsvollzuges vollumfänglich auf die dortigen Erwägungen verwiesen werden (vgl. a.a.O. E. 9.2). Es sind somit keine individuellen Gründe ersichtlich, welche gegen die Zumutbarkeit der Rückkehr des Beschwerdeführers in seine Heimat sprechen würden. Der Vollzug der Wegweisung erweist sich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Aufgrund der vorstehenden Erwägungen ist die Beschwerde als aussichtslos zu qualifizieren. Das Gesuch um Gewährung der unentgeltlichen Prozessführung im Sinne von Art. 65 Abs. 1 VwVG ist daher ungeachtet der Bedürftigkeit des Beschwerdeführers abzuweisen. Das Gesuch um Gewährung der unentgeltlichen Rechtsverbeiständung im Sinne von Art. 110a Abs. 2 AsylG i.V.m. Art. 65 Abs. 2 VwVG ist mangels Erfüllung der Voraussetzungen von Art. 65 Abs. 1 VwVG ebenfalls abzuweisen.</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