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E-4756/2007 vom 10. März 2011</w:t>
      </w:r>
    </w:p>
    <w:p>
      <w:r>
        <w:t>Bundesverwaltungsgericht, 2011-03-10, DE</w:t>
      </w:r>
    </w:p>
    <w:p>
      <w:r>
        <w:rPr>
          <w:b/>
        </w:rPr>
        <w:t xml:space="preserve">Quelle: </w:t>
      </w:r>
      <w:r>
        <w:t>https://mcp.opencaselaw.ch/entscheid/bvger_E-4756_2007</w:t>
      </w:r>
    </w:p>
    <w:p>
      <w:r>
        <w:t>FR: TAF E-4756/2007 du 10 mars 2011</w:t>
      </w:r>
    </w:p>
    <w:p>
      <w:r>
        <w:t>IT: TAF E-4756/2007 del 10 marzo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Die Beurteilung des Verfahrens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die Aufhebung der Verfügung betreffend den Wegweisungsvollzug (Ziffern 4 und 5 des Dispositivs). Die Verneinung der Flüchtlingseigenschaft, die Ablehnung des Asylgesuchs und die Wegweisung an sich bleiben somit unangefochten und sind mit Ablauf der Beschwerdefrist in Rechtskraft erwachsen.</w:t>
      </w:r>
    </w:p>
    <w:p>
      <w:r>
        <w:rPr>
          <w:b/>
        </w:rPr>
        <w:t>E. 3.2</w:t>
      </w:r>
    </w:p>
    <w:p>
      <w:r>
        <w:t>Im vorliegenden Beschwerdeverfahren ist somit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Wie den nachfolgenden Erwägungen zu entnehmen ist, erweist sich der Vollzug der Wegweisung vorliegend als unzumutbar. Damit kann praxisgemäss auf eine Erläuterung der beiden andern Voraussetzungen eines rechtmässigen Wegweisungsvollzugs verzichtet werden (vgl. etwa BVGE 2009/51 E. 5.4).</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In ihrer vorliegend zu berücksichtigenden Rechtsprechung hatte sich die ARK in Entscheidungen und Mitteilungen der Schweizerischen Asylrekurskommission (EMARK) 2003 Nrn. 10 und 30 eingehend zur Lage in Afghanistan geäussert und die Unterschiede zwischen der Stadt Kabul und den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5.2.2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w:t>
      </w:r>
    </w:p>
    <w:p>
      <w:r>
        <w:rPr>
          <w:b/>
        </w:rPr>
        <w:t>E. 5.2.3</w:t>
      </w:r>
    </w:p>
    <w:p>
      <w:r>
        <w:t>Eine Rückkehr in die Heimatregion des Beschwerdeführers in der südlichen Provinz Helmand bezeichnete schon die ARK - unabhängig von individuellen Umständen wie beispielsweise gesundheitlichen Beschwerden oder einem fehlenden Beziehungsnetz - als existenzbedrohend und damit als generell unzumutbar (vgl. hierzu EMARK 2003 Nr. 30 insbesondere E. 7.a).</w:t>
      </w:r>
    </w:p>
    <w:p>
      <w:r>
        <w:rPr>
          <w:b/>
        </w:rPr>
        <w:t>E. 5.3</w:t>
      </w:r>
    </w:p>
    <w:p>
      <w:r>
        <w:t>Das Bundesverwaltungsgericht hat sich dieser Lageeinschätzung angeschlossen und sieht unter Berücksichtigung der jüngsten Entwicklung in Afghanistan momentan keine Veranlassung, von ihr in Bezug auf diese oder die erwähnten übrigen Provinzen abzuweichen (vgl. etwa das Urteil E-6008/2006 E. 5.3 f. mit weiteren Hinweisen). Ob die Gebiete, bei welchen mit EMARK 2006 Nr. 9 der Vollzug von Wegweisungen noch als zumutbar bezeichnet wurde, heute anders beurteilt werden müssten, kann vorliegend offen bleiben.</w:t>
      </w:r>
    </w:p>
    <w:p>
      <w:r>
        <w:rPr>
          <w:b/>
        </w:rPr>
        <w:t>E. 5.4</w:t>
      </w:r>
    </w:p>
    <w:p>
      <w:r>
        <w:t>Eigenen Angaben zufolge und bestätigt durch einen vom BFM durchgeführter Herkunfts- und Sprachtest stammt der Beschwerdeführer aus der Provinz Helmand. Der Herkunftsort des Beschwerdeführers befindet sich damit in einer Provinz, bezüglich welcher der Wegweisungsvollzug nach konstanter Praxis des Bundesverwaltungsgerichts als generell unzumutbar zu qualifizieren ist.</w:t>
      </w:r>
    </w:p>
    <w:p>
      <w:r>
        <w:rPr>
          <w:b/>
        </w:rPr>
        <w:t>E. 5.5</w:t>
      </w:r>
    </w:p>
    <w:p>
      <w:r>
        <w:t>Von einer zumutbaren Aufenthaltsalternative in einem andern Landesteil Afghanistans ist nicht auszugehen, nachdem den Akten keinerlei Hinweise auf einen längeren Aufenthalt des Beschwerdeführers - oder auf ein tragfähiges familiäres Beziehungsnetz - in einer der bisher als sicher bezeichneten Provinzen Afghanistans zu entnehmen sind. Der Vollzug der Wegweisung des Beschwerdeführers ist somit als unzumutbar zu bezeichnen. Somit kann vorliegend darauf verzichtete werden, auf das vom Beschwerdeführer mit Eingabe vom 18. September 2009 eingereichte Arztzeugnis näher einzugehen. Die Voraussetzungen für die Gewährung der vorläufigen Aufnahme sind erfüllt, nachdem den Akten keine Hinweise auf Ausschlussgründe gemäss Art. 83 Abs. 7 AuG zu entnehmen sind.</w:t>
      </w:r>
    </w:p>
    <w:p>
      <w:r>
        <w:rPr>
          <w:b/>
        </w:rPr>
        <w:t>E. 6</w:t>
      </w:r>
    </w:p>
    <w:p>
      <w:r>
        <w:t>Die Beschwerde ist somit gutzuheissen. Die Ziffern 4 und 5 des Dispositivs der angefochtenen Verfügung des BFM vom 12. Juni 2007 sind aufzuheben, und die Vorinstanz ist anzuweisen, den Beschwerdeführer vorläufig aufzunehmen.</w:t>
      </w:r>
    </w:p>
    <w:p>
      <w:r>
        <w:rPr>
          <w:b/>
        </w:rPr>
        <w:t>E. 7.1</w:t>
      </w:r>
    </w:p>
    <w:p>
      <w:r>
        <w:t>Bei diesem Ausgang des Verfahrens sind keine Kosten zu erheben (Art. 63 Abs. 1 VwVG). Das Gesuch um Gewährung der unentgeltlichen Prozessführung erweist sich damit als gegenstandslos.</w:t>
      </w:r>
    </w:p>
    <w:p>
      <w:r>
        <w:rPr>
          <w:b/>
        </w:rPr>
        <w:t>E. 7.2</w:t>
      </w:r>
    </w:p>
    <w:p>
      <w:r>
        <w:t>Dem Beschwerdeführer steht eine Entschädigung gemäss Art. 64 Abs. 1 VwVG für seine Parteikosten zu. Nachdem seine Rechtsvertreterin keine Kostennote eingereicht hat, ist die Parteientschädigung aufgrund der Akten von Amtes wegen auf insgesamt Fr. 600. (inklusive aller Auslagen) festzusetzen (vgl.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