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E-4750/2010 vom 9. Juli 2010</w:t>
      </w:r>
    </w:p>
    <w:p>
      <w:r>
        <w:t>Bundesverwaltungsgericht, 2010-07-09, DE</w:t>
      </w:r>
    </w:p>
    <w:p>
      <w:r>
        <w:rPr>
          <w:b/>
        </w:rPr>
        <w:t xml:space="preserve">Quelle: </w:t>
      </w:r>
      <w:r>
        <w:t>https://mcp.opencaselaw.ch/entscheid/bvger_E-4750_2010</w:t>
      </w:r>
    </w:p>
    <w:p>
      <w:r>
        <w:t>FR: TAF E-4750/2010 du 9 juillet 2010</w:t>
      </w:r>
    </w:p>
    <w:p>
      <w:r>
        <w:t>IT: TAF E-4750/2010 del 9 luglio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VwVG, Art. 108 Abs. 2 AsylG und Art. 52 VwVG). Auf die Beschwerde ist demnach einzutreten.</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3.2</w:t>
      </w:r>
    </w:p>
    <w:p>
      <w:r>
        <w:t>Bei der Prüfung, ob Hinweise auf eine Verfolgung vorliegen, welche geeignet sind, die Flüchtlingseigenschaft zu begründen, ist vom klassischen engen Verfolgungsbegriff im Sinne von Art. 3 AsylG auszugehen. Mit Grundsatzurteil vom 8. Juni 2006 i.S. A.I.I. (vgl. Entscheidungen und Mitteilungen der Schweizerischen Asylrekurskommission [EMARK] 2006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von vornherein haltlos sind (vgl. beispielsweise Urteil des Bundesverwaltungsgerichts D-2013/2009 vom 6. April 2009; EMARK 2005 Nr. 2 E. 4.3 S. 17).</w:t>
      </w:r>
    </w:p>
    <w:p>
      <w:r>
        <w:rPr>
          <w:b/>
        </w:rPr>
        <w:t>E. 4.1</w:t>
      </w:r>
    </w:p>
    <w:p>
      <w:r>
        <w:t>Das BFM hat vorliegend seinen Nichteintretensentscheid vom 23. Juni 2010 auf der Grundlage von Art. 32 Abs. 2 Bst. e AsylG gefällt. Es gilt daher im Folgenden zu prüfen, ob die Voraussetzungen für ein Nichteintreten nach dieser Bestimmung erfüllt sind.</w:t>
      </w:r>
    </w:p>
    <w:p>
      <w:r>
        <w:rPr>
          <w:b/>
        </w:rPr>
        <w:t>E. 4.2</w:t>
      </w:r>
    </w:p>
    <w:p>
      <w:r>
        <w:t>Der Beschwerdeführer durchlief in der Schweiz bereits erfolglos ein Asylverfahren, das rechtskräftig abgeschlossen wurde. Das vorliegend zur Beurteilung stehende Asylgesuch des Beschwerdeführers ist demnach als neues Asylgesuch im Sinne von Art. 32 Abs. 2 Bst. e AsylG zu betrachten.</w:t>
      </w:r>
    </w:p>
    <w:p>
      <w:r>
        <w:rPr>
          <w:b/>
        </w:rPr>
        <w:t>E. 4.3</w:t>
      </w:r>
    </w:p>
    <w:p>
      <w:r>
        <w:t>Gemäss Art. 36 Abs. 1 Bst. b AsylG findet in den Fällen nach Art. 32 Abs. 2 Bst. e AsylG eine Anhörung im Sinne der Art. 29 und 30 AsylG statt, wenn die asylsuchende Person aus ihrem Heimat- oder Herkunftsstaat in die Schweiz zurückgekehrt ist. In den übrigen Fällen wird ihr das rechtliche Gehör gewährt (vgl. Art. 36 Abs. 2 AsylG). Entfällt in diesen Fällen indessen die Möglichkeit, einen Nichteintretensentscheid zu treffen, ist das Bundesamt verpflichtet, im Rahmen des neuen ordentlichen Asylverfahrens eine Anhörung gemäss Art. 29 f. AsylG durchzuführen (vgl. EMARK 2006 Nr. 20 E. 3.1 S. 214 f. sowie BVGE 2009/53 E. 6). In casu ist festzustellen, dass sich der Beschwerdeführer den Akten zufolge zwischen dem Abschluss des früheren Asylverfahrens und der Einreichung des vorliegenden Asylgesuchs nicht in seinem Heimatstaat aufgehalten hat und danach in die Schweiz zurückgekehrt ist. Somit hat für das BFM keine Veranlassung bestanden, im Anschluss an die Einreichung des zweiten Asylgesuchs eine Anhörung durchzuführen, sofern die Feststellung, die Voraussetzungen für das Fällen eines Nichteintretensentscheids in Anwendung von Art. 32 Abs. 2 Bst. e AsylG seien gegeben gewesen, zu Recht erfolgte.</w:t>
      </w:r>
    </w:p>
    <w:p>
      <w:r>
        <w:rPr>
          <w:b/>
        </w:rPr>
        <w:t>E. 4.4</w:t>
      </w:r>
    </w:p>
    <w:p>
      <w:r>
        <w:t>Gemäss der durch die ehemalige ARK begründeten Rechtsprechung (EMARK 2006 Nr. 20) fällt die Möglichkeit, in Anwendung von Art. 32 Abs. 2 Bst. e AsylG einen Nichteintretensentscheid zu treffen,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 Diese Praxis wurde vom Bundesverwaltungsgericht in BVGE 2009/53 bestätigt und differenziert. Darin wurde mit Verweis auf EMARK 2006 Nr. 20 (E. 3.1 S. 214) festgehalten, dass allein der Umstand, dass in einem weiteren, insbesondere schriftlich eingereichten Asylgesuch das exilpolitische Engagement der asylsuchenden Person umfassend dargelegt und allenfalls mit Beweismitteln dokumentiert werde, für sich noch nicht bedeute, dass auf das Asylgesuch im Sinne eines Automatismus einzutreten sei. Vielmehr sei im Hinblick auf die Frage, ob das ordentliche Verfahren durchzuführen oder ein Nichteintretensentscheid gemäss Art. 32 Abs. 2 Bst. e AsylG zu fällen sei, unter Berücksichtigung des länderspezifischen und personenbezogenen Kontextes im konkreten Fall zu prüfen, ob sich aufgrund der geltend gemachten exilpolitischen Tätigkeiten Hinweise ergäben, die zur Begründung der Flüchtlingseigenschaft geeignet seien. Ergäben sich solche Hinweise, müsse das BFM auf das zweite Asylgesuch eintreten und im Rahmen des ordentlichen Asylverfahrens eine förmliche Anhörung zu den Asylgründen nach Art. 29 und 30 AsylG durchführen (a.a.O E. 6).</w:t>
      </w:r>
    </w:p>
    <w:p>
      <w:r>
        <w:rPr>
          <w:b/>
        </w:rPr>
        <w:t>E. 5.1</w:t>
      </w:r>
    </w:p>
    <w:p>
      <w:r>
        <w:t>Aus den Akten ist ersichtlich, dass der Beschwerdeführer Mitglied der DVF und gemäss Bestätigungsschreiben Sympathisant der PDKI ist. Sodann hat er seinen Angaben und den eingereichten Beweismitteln zufolge in der Schweiz an zahlreichen, meist von der PDKI organisierten Protestkundgebungen teilgenommen, bei denen er auch (mehr oder weniger) erkennbar fotografiert wurde. Etliche dieser Fotos wurden ins Internet gestellt.</w:t>
      </w:r>
    </w:p>
    <w:p>
      <w:r>
        <w:rPr>
          <w:b/>
        </w:rPr>
        <w:t>E. 5.2</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und Teilnehmer von sonstigen regimekritischen Veran-staltungen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 Die vom Beschwerdeführer dargelegte Beteiligung an exilpolitischen Aktionen an sich geht nicht signifikant über diejenige hinaus, die zahlreiche Exil-Iraner an den Tag legen. Auch die Tatsache, dass seine Teilnahme an den von ihm angeführten Kundgebungen fotografisch dokumentiert und im Internet publik gemacht wurde, kann nicht zur Annahme einer relevanten Gefährdung des Beschwerdeführers führen. Das Internet ist ein Massenmedium, welches heute von Millionen von Privatpersonen sowie unterschiedlichsten Organisationen und Unternehmen zur freien Willenskundgebung wie auch zur Publikation von Artikeln und Dokumentationen genutzt wird. Täglich erscheinen Tausende von neuen Artikeln und Dokumenten auf privaten Homepages. Dies verdeutlicht die Website www.k-d-panahandegan.org/fotos, von welcher ein Grossteil der eingereichten Aufnahmen stammen und auf der tausende Bilddateien abgespeichert sind. Es erscheint wenig wahrscheinlich, dass der iranische Sicherheitsdienst sämtliche dieser in riesigen Mengen anfallenden veröffentlichten Dokumente gezielt und umfassend überwachen könnte, so dass elektronische Publikationen eine begründete Furcht vor zukünftiger Verfolgung zu schaffen vermöchten. Dies gilt umsomehr für zuvor unbekannte Aktivisten. In Übereinstimmung mit der Vorinstanz ist mit Bezug auf den Beschwerdeführer festzustellen, dass es diesem im Rahmen seines ersten, rechtskräftig abgeschlossenen Asylverfahrens nicht gelungen ist, die damals geltend gemachte politisch motivierte Verfolgung im Heimatland glaubhaft zu machen. Damit steht fest, dass er vor seiner Ausreise nicht als regimefeindliche Person ins Blickfeld der heimatlichen Behörden respektive der iranischen Nachrichtendienste geraten ist. Er erscheint damit überaus unwahrscheinlich, dass er anlässlich der Teilnahmen an Kundgebungen, an denen er sich wie aufgezeigt in keiner Weise von den übrigen Teilnehmern abgehoben hat, durch den iranischen Sicherheitsdienst identifiziert worden wäre, zumal die Identifizierung einer Person grundsätzlich deren vorgängige Registrierung voraussetzen dürfte. Vor diesem Hintergrund erscheinen die geltend gemachten exilpolitischen Aktivitäten für sich nicht geeignet, zu einer für die Flüchtlingseigenschaft relevanten Verfolgungsgefahr zu führen.</w:t>
      </w:r>
    </w:p>
    <w:p>
      <w:r>
        <w:rPr>
          <w:b/>
        </w:rPr>
        <w:t>E. 5.3.1</w:t>
      </w:r>
    </w:p>
    <w:p>
      <w:r>
        <w:t>Auch das Vorbringen in der Rechtsmitteleingabe, wonach die im Iran lebenden Eltern des Beschwerdeführers Opfer einer auf seine Kundgebungsteilnahmen zurückzuführenden Reflexverfolgung geworden seien, führt zu keiner anderen Betrachtungsweise. Gemäss den dortigen Ausführungen seien die genauen Umstände der fraglichen Polizeiaktion in der Beschwerde nicht dargestellt worden und blieben auch nach Konsultation der eingereichten Videosequenzen unklar. Die Annahme des BFM, wonach der Vorfall nichts mit dem exilpolitischen Engagement des Beschwerdeführers zu tun haben könne, da angesichts deren geringer Intensität nicht mit staatlichen Verfolgungsmassnahmen zu rechnen sei, stelle einen unzulässigen Zirkelschluss dar. Die geltend gemachte Polizeiaktion sei nämlich gerade geeignet, die vorinstanzliche Mutmassung, wonach der Beschwerdeführer bei den iranischen Behörden keine Aufmerksamkeit erweckt habe, zu entkräften. Deshalb hätte sich eine Befragung des Beschwerdeführers als dringend notwendig erwiesen.</w:t>
      </w:r>
    </w:p>
    <w:p>
      <w:r>
        <w:rPr>
          <w:b/>
        </w:rPr>
        <w:t>E. 5.3.2</w:t>
      </w:r>
    </w:p>
    <w:p>
      <w:r>
        <w:t>Entgegen dieser Argumentation ist zunächst festzustellen, dass die behördliche Untersuchungspflicht jedoch nach Treu und Glauben ihre Grenzen an der Mitwirkungspflicht der beschwerdeführenden Person findet (Art. 8 AsylG), die im Übrigen auch die Substanziierungslast trägt (Art. 7 AsylG). In concreto bedeutet dies, dass es zweifellos Sache des Beschwerdeführers gewesen wäre, unaufgefordert zu erläutern, inwieweit das Beweismittel geeignet sein soll, die - vorliegend berechtigte (vgl. Ziff. 5.3) - Schlussfolgerung des BFM umzustossen. Die weitergehende Folgerung des Beschwerdeführers, wonach sich aufgrund der fehlenden Klarheit über den Beweiswert des eingereichten Beweismittels ein Befragung aufgedrängt haben würde, lässt die Vermutung aufkommen, dass die Beweismitteleingabe gerade auf die Durchführung einer solchen abzielte. Nun entspräche es mit Sicherheit nicht dem Sinn des Gesetzgebers, wenn mit der - vorliegend rechtsmissbräuchlich anmutenden - Einreichung von Beweismitteln ohne selbständigen Erklärungswert (sowie das offensichtlich bewusste Unterlassen einer Erläuterung) die Durchführung eines ordentlichen Verfahrens erzwungen werden könnte. Hinzu tritt vorliegend die Tatsache, dass der eingereichte Datenträger (CD/DVD) mithilfe herkömmlicher Computerprogramme (Windows Media Player u.ä.) nicht lesbar ist. Mithin zeitigt das eingereichte Beweismittel nicht wie vorgebracht einen unklaren, sondern vielmehr überhaupt keinen erkennbaren Erklärungswert. Da Art und Form - inklusive technische Verwertbarkeit - der Beweismitteleinreichung in den Verantwortungsbereich des Beschwerdeführers fallen, ist auf eine Fristansetzung zur Nachreichung der Beweismittel in lesbarem Format zu verzichten. Die entsprechenden Daten bleiben demnach ohne Berücksichtigung. Die Notwendigkeit einer Befragung einzig aufgrund einer nicht selbsterklärenden respektive nicht verwertbaren Beweismitteleingabe ist damit aus verschiedenen Gründen zu verneinen.</w:t>
      </w:r>
    </w:p>
    <w:p>
      <w:r>
        <w:rPr>
          <w:b/>
        </w:rPr>
        <w:t>E. 5.4</w:t>
      </w:r>
    </w:p>
    <w:p>
      <w:r>
        <w:t>Zusammenfassend ist festzustellen, dass der Beschwerdeführer weder in der Heimat erkennungsdienstlich erfasst wurde noch im Rahmen der aufgezeigten Aktivitäten in besonderem Masse in Erscheinung getreten ist. Angesichts der umfangreichen regimekritischen Aktivitäten von iranischen Staatsangehörigen in ganz Westeuropa erscheint deshalb unwahrscheinlich, dass die heimatlichen Behörden vom Beschwerdeführer überhaupt Notiz genommen hätten. Die geltend gemachten subjektiven Nachfluchtgründe sind damit nicht geeignet, eine flüchtlingsrechtlich relevante Verfolgungsfurcht zu begründen. Somit kann festgestellt werden, dass sich keine Hinweise darauf ergeben, dass nach Abschluss des ersten Asylverfahrens Ereignisse eingetreten sind, die geeignet sind, die Flüchtlingseigenschaft zu begründen, oder die für die Gewährung vorübergehenden Schutzes relevant sind. Demzufolge ist das BFM zu Recht gestützt auf Art. 32 Abs. 2 Bst. e AsylG auf das zweite Asylgesuch des Beschwerdeführers nicht eingetreten.</w:t>
      </w:r>
    </w:p>
    <w:p>
      <w:r>
        <w:rPr>
          <w:b/>
        </w:rPr>
        <w:t>E. 6.1</w:t>
      </w:r>
    </w:p>
    <w:p>
      <w:r>
        <w:t>Lehnt das Bundesamt Asylgesuche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Iran herrscht zurzeit keine Situation allgemeiner Gewalt, weshalb in konstanter Praxis von der grundsätzlichen Zumutbarkeit des Wegweisungsvollzugs ausgegangen wird. In den Akten finden sich auch keine Anhaltspunkte dafür, dass der Beschwerdeführer aus individuellen Gründen wirtschaftlicher, sozialer oder gesundheitlicher Natur in eine existenzbedrohende Situation geraten würde, weshalb der Vollzug der Wegweisung zumutbar ist.</w:t>
      </w:r>
    </w:p>
    <w:p>
      <w:r>
        <w:rPr>
          <w:b/>
        </w:rPr>
        <w:t>E. 7.4</w:t>
      </w:r>
    </w:p>
    <w:p>
      <w:r>
        <w:t>Schliesslich ist der Vollzug der Wegweisung auch als möglich zu bezeichnen (Art. 83 Abs. 2 AuG), da es dem Beschwerdeführer obliegt, sich gültige Reisedokumente zu beschaffen.</w:t>
      </w:r>
    </w:p>
    <w:p>
      <w:r>
        <w:rPr>
          <w:b/>
        </w:rPr>
        <w:t>E. 7.5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Mit dem vorliegenden Entscheid in der Hauptsache ohne vorgängige Instruktion wird der Antrag um Verzicht auf die Erhebung eines Kostenvorschusses gegenstandslos.</w:t>
      </w:r>
    </w:p>
    <w:p>
      <w:r>
        <w:rPr>
          <w:b/>
        </w:rPr>
        <w:t>E. 9.2</w:t>
      </w:r>
    </w:p>
    <w:p>
      <w:r>
        <w:t>Aufgrund vorstehender Erwägungen erweisen sich die Beschwerdebegehren als aussichtslos, weshalb das Gesuch um Gewährung der unentgeltlichen Rechtspflege gemäss Art. 65 Abs. 1 und 2 VwVG abzuweisen ist.</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