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E-4747/2014 vom 23. Oktober 2015</w:t>
      </w:r>
    </w:p>
    <w:p>
      <w:r>
        <w:t>Bundesverwaltungsgericht, 2015-10-23, DE</w:t>
      </w:r>
    </w:p>
    <w:p>
      <w:r>
        <w:rPr>
          <w:b/>
        </w:rPr>
        <w:t xml:space="preserve">Quelle: </w:t>
      </w:r>
      <w:r>
        <w:t>https://mcp.opencaselaw.ch/entscheid/bvger_E-4747_2014</w:t>
      </w:r>
    </w:p>
    <w:p>
      <w:r>
        <w:t>FR: TAF E-4747/2014 du 23 octobre 2015</w:t>
      </w:r>
    </w:p>
    <w:p>
      <w:r>
        <w:t>IT: TAF E-4747/2014 del 23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Beschwerdeeingabe vom 25. August 2014 liess der Beschwerdeführer die vollumfängliche Aufhebung der angefochtenen Verfügung beantragen (vgl. Bst. F). Mit Eingabe vom 18. September 2014 liess er dem Gericht schliesslich mitteilen, dass er das Rechtsbegehren bezüglich Flüchtlingseigenschaft zurückziehe, im Wegweisungspunkt indes vollumfänglich an der Beschwerde festhalte (vgl. Bst. H). Somit sind die Dispositiv-Ziffern 1 und 2 (bezüglich Verneinung der Flüchtlingseigenschaft und Verweigerung des Asyls) der angefochtenen Verfügung in Rechtskraft erwachsen.</w:t>
      </w:r>
    </w:p>
    <w:p>
      <w:r>
        <w:rPr>
          <w:b/>
        </w:rPr>
        <w:t>E. 4</w:t>
      </w:r>
    </w:p>
    <w:p>
      <w:r>
        <w:t>Lehnt das Bundesamt das Asylgesuch ab oder tritt es nicht darauf ein, so verfügt es in der Regel die Wegweisung aus der Schweiz und ordnet deren Vollzug an (Art. 44 AsylG). Der Beschwerdeführer verfügt weder über eine ausländerrechtliche Aufenthaltsbewilligung noch über einen Anspruch auf Erteilung einer solchen. Seine Wegweisung wurde demnach zu Recht angeordnet (vgl. BVGE 2011/24 E. 10.1 mit Hinweis auf EMARK 2001 Nr. 21).</w:t>
      </w:r>
    </w:p>
    <w:p>
      <w:r>
        <w:rPr>
          <w:b/>
        </w:rPr>
        <w:t>E. 5.1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Wegweisungshindernissen gilt gemäss ständiger Praxis des Bundesverwaltungsgerichts und seiner Vorgängerorganisation ARK der gleiche Beweisstandard wie bei der Flüchtlingseigenschaft, das heisst, sie sind zu beweisen, wenn der strikte Beweis möglich ist, andernfalls wenigstens glaubhaft zu machen (vgl. BVGE 2011/24 E. 10.2).</w:t>
      </w:r>
    </w:p>
    <w:p>
      <w:r>
        <w:rPr>
          <w:b/>
        </w:rPr>
        <w:t>E. 5.2</w:t>
      </w:r>
    </w:p>
    <w:p>
      <w:r>
        <w:t>Bevor der Frage der Zulässigkeit respektive Zumutbarkeit und Möglichkeit des Wegweisungsvollzugs nachgegangen werden kann, ist zu prüfen, ob die Vorinstanz zutreffenderweise zum Schluss gelangte, der Beschwerdeführer sei nicht afghanischer Staatsangehöriger. Dabei sind neben der von der Vorinstanz in Auftrag gegebenen Herkunftsabklärung die vom Beschwerdeführer gemachten Angaben sowie die von ihm eingereichten Dokumente zu berücksichtigen.</w:t>
      </w:r>
    </w:p>
    <w:p>
      <w:r>
        <w:rPr>
          <w:b/>
        </w:rPr>
        <w:t>E. 5.2.1</w:t>
      </w:r>
    </w:p>
    <w:p>
      <w:r>
        <w:t>Nach Ansicht des Bundesverwaltungsgerichts ging die Vorinstanz zu Recht davon aus, dass es dem Beschwerdeführer nicht gelungen ist, die von ihm geltend gemachte Familienfehde mit Blutrache infolge der unerwünschten Heirat seiner Eltern glaubhaft zu machen. So sind seine Aussagen diesbezüglich tatsächlich widersprüchlich. Zudem erscheint es unplausibel, dass die Eltern des Beschwerdeführers erst mehrere Jahre nach der Geburt ihrer Kinder aus ihrem Heimatdorf hätten fliehen müssen, wenn ihre Verbindung tatsächlich unliebsam gewesen wäre und eine Verfolgung seitens der Familienmitglieder nach sich gezogen hätte. Dennoch erscheint eine Ausreise der Familie des Beschwerdeführers von Afghanistan ins benachbarte Pakistan in den frühen 1990er Jahren nicht per se unwahrscheinlich. So tobte in dieser Zeit der afghanische Bürgerkrieg, während dem zahlreiche Afghanen und Afghaninnen im Nachbarland Zuflucht suchten (vgl. z.B. Neue Zürcher Zeitung [NZZ], Pakistan: Ungewisse Zukunft für die afghanischen Flüchtlinge, 28. Dezember 2012; NZZ, Human Rights Watch kritisiert die Rolle von Drittstaaten: Kein Mangel an Waffen in Afghanistan, 16. August 2001). Auch brachte der Beschwerdeführer glaubhaft vor, dass er zusammen mit seiner Familie bei einem Pakistaner - für den sie als Bedienstete gearbeitete hätten - untergekommen sei und in Pakistan die Schule besucht habe, wegen Schikanen seitens der pakistanischen Regierung gegenüber den afghanischen Flüchtlingen indes im Jahr 2010 gemeinsam mit seinem Vater und seinen Geschwistern wieder nach Afghanistan zurückgekehrt sei. Bezüglich der vom SEM bei der Fachstelle Lingua in Auftrag gegebenen Herkunftsabklärung - welche in ihrer Qualität nicht zu beanstanden ist, wurde sie doch von einem qualifizierten Sachverständigen durchgeführt (vgl. A35/1) und fiel sehr differenziert und detailliert aus - kommt das Gericht zum Schluss, dass diese nicht geeignet ist, die vom Beschwerdeführer vorgetragene Herkunft aus Afghanistan mit Hauptsozialisation in Pakistan eindeutig zu widerlegen. Vielmehr bestätigt insbesondere die Untersuchung des landeskundlich-kulturellen Wissens das Vorbringen des Beschwerdeführers, nur als Kleinkind während einer längeren Zeit im von ihm angegebenen Dorf in Afghanistan gelebt, seine Hauptsozialisation aber in Pakistan erfahren zu haben. So konnte der Beschwerdeführer durchaus nicht nur völlig pauschale Angaben zu seinem behaupteten Heimatdorf machen. Dass sich ein Pakistaner in den Jahren 2010 und 2011 während mehrerer Monate in einem kleinen Dorf in Afghanistan aufhielt, erscheint im Übrigen nicht sehr naheliegend. Die Ausführungen des Beschwerdeführers zum Brauchtum und zu den Kleidungsgewohnheiten waren nach Ansicht des Experten zwar nicht sehr spezifisch. Indes wies der Experte selbst bereits in der Einleitung seines Gutachtens darauf hin, dass die Angaben zum Brauchtum und den Ernährungs- und Kleidungsgewohnheiten angesichts der Umstände des vorliegenden Falls nur eine geringe Aussagekraft besässen, da in diesen Bereichen oft nur geringe Unterschiede zwischen Paschtunen in Afghanistan und Paschtunen in Pakistan auszumachen seien. Bezüglich der Ernährungsgewohnheiten konnte der Beschwerdeführer überdies Gerichte nennen, die nach Einschätzung des Sachverständigen in Pakistan unbekannt seien. Der Vorhalt, der Beschwerdeführer habe sich diese Kenntnisse auch erst bei anderen Afghanen im Wohnheim in der Schweiz aneignen können, erscheint angesichts des im Zeitpunkt der Herkunftsabklärung bereits während fast drei Jahren andauernden Asylverfahrens unstatthaft. Das Ergebnis der zweifelsohne sehr sorgfältig durchgeführten Sprachanalyse ist überdies äusserst ambivalent ausgefallen. So liess sich die Sprechweise des Beschwerdeführers nicht eindeutig einer der drei grossen Dialektgruppen des Paschto (südliche, nördliche und zentrale Dialektgruppe) zuordnen. Dieses Resultat lässt sich durch die Angaben des Beschwerdeführers bezüglich seines Herkunfts- und Sozialisationsortes zwar nicht erklären. Indes weist das Ergebnis auch nicht eindeutig auf eine Herkunft aus respektive eine Hauptsozialisation in einem anderen Sprachgebiet hin. Insbesondere vermag es aber eine Herkunft aus Afghanistan nicht zu widerlegen, werden alle drei grossen Dialektgruppen des Paschto nach Angaben des Experten im Gutachten doch auch dort gesprochen, wenn auch teilweise in anderen Regionen als der vom Beschwerdeführer angegebenen Herkunftsregion. Dass der Sprachgebrauch des Beschwerdeführers Begriffe enthält, die als exklusive Merkmale des in Pakistan gesprochenen Paschto anzusehen sind, lässt sich überdies - wie auf Beschwerdeebene zutreffend ausgeführt - dadurch erklären, dass er in Pakistan sozialisiert wurde und dort mit den pakistanischen Kindern des Chan spielte sowie die pakistanische Schule besuchte. Schliesslich reichte der Beschwerdeführer zum Nachweis seiner afghanischen Staatsangehörigkeit eine auf ihn ausgestellte Tazkira im Original ein. Auch wenn es sich dabei nicht um ein amtliches Reisepapier handelt, so ist die Tazkira doch das meist verbreitete Identitätspapier Afghanistans. Es ist somit ein amtliches Dokument mit Fotografie, welches zum Zweck des Nachweises der Identität seines Inhabers ausgestellt wurde. Die Tazkira ist zwar nicht fälschungssicher, weswegen ihr nur ein verminderter Beweiswert zukommt. Trotzdem darf sie nicht ohne genauere Betrachtung als Fälschung deklariert werden (vgl. BVGE 2013/30 E. 4.2.2). Vorliegend mass die Vorinstanz der eingereichte Tazkira einen äusserst geringen Beweiswert zu, ohne zu prüfen, ob es sich dabei um ein gefälschtes Dokument handelt. Ohne Prüfung der eingereichten Tazkira kann indes - wie gesagt - nicht davon ausgegangen werden, diese sei gefälscht. Unter Berücksichtigung der Tatsache, dass der Beschwerdeführer nach Ansicht des im Rahmen der Herkunftsanalyse herangezogenen Sachverständigen zutreffende Angaben bezüglich des Ablaufes der Ausstellung einer Tazkira machte, stellt sie immerhin ein nicht zu vernachlässigendes Indiz dafür dar, dass der Beschwerdeführer afghanischer Staatsangehöriger ist. Bezüglich der bereits bei der Vorinstanz und erneut beim Bundesverwaltungsgericht eingereichten Kopien der Dokumente des Vaters des Beschwerdeführers (Militärausweis und die Tazkira) sei darauf hingewiesen, dass eine Übersetzung der wesentlichen Teile derselben durch das Gericht wegen deren Unleserlichkeit nicht möglich war.</w:t>
      </w:r>
    </w:p>
    <w:p>
      <w:r>
        <w:rPr>
          <w:b/>
        </w:rPr>
        <w:t>E. 5.2.2</w:t>
      </w:r>
    </w:p>
    <w:p>
      <w:r>
        <w:t>Bei einer Gesamtschau dieser die Herkunft des Beschwerdeführers betreffenden Elemente kommt das Gericht zum Schluss, dass dieser mit überwiegender Wahrscheinlichkeit aus Afghanistan stammt und die behauptete Staatsangehörigkeit glaubhaft machen konnte. Zwar spricht die Unglaubhaftigkeit seiner Verfolgungsvorbringen - insbesondere der Familienfehde mit Blutrache, welche seinen Angaben zufolge ursächlich für die Ausreise nach Pakistan gewesen sei - gegen die von ihm behauptete Herkunft. Auch die Lingua-Analyse lässt durchaus gewisse Zweifel daran aufkommen. Indes vermochte sie nicht zuverlässig zu widerlegen, dass der Beschwerdeführer afghanischer Staatsangehöriger mit Hauptsozialisation in Pakistan ist. Dies nicht zuletzt wegen seiner nicht völlig unplausiblen Schilderungen bezüglich seines Lebens im pakistanischen Exil und seiner Rückkehr nach Afghanistan sowie im Wesentlichen aufgrund der von ihm eingereichten Tazkira, bei der es sich immerhin um ein amtliches Dokument handelt, dessen Echtheit von der Vorinstanz nicht entkräftet wurde.</w:t>
      </w:r>
    </w:p>
    <w:p>
      <w:r>
        <w:rPr>
          <w:b/>
        </w:rPr>
        <w:t>E. 5.3.1</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 EMARK 2006 Nr. 6 E. 4.2). Weil sich vorliegend der Vollzug der Wegweisung aus den nachfolgend aufgezeigten Gründen als unzumutbar erweist, kann auf eine Erörterung der beiden anderen Kriterien verzichtet werden.</w:t>
      </w:r>
    </w:p>
    <w:p>
      <w:r>
        <w:rPr>
          <w:b/>
        </w:rPr>
        <w:t>E. 5.3.2</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seiner Lageanalyse für Afghanistan im Urteil BVGE 2011/7 kam das Bundesverwaltungsgericht zum Schluss, dass die Sicherheitslage und die humanitäre Situation in Afghanistan derart schlecht seien, dass von einer existenzbedrohenden Situation im Sinne von Art. 83 Abs. 4 AuG zu sprechen sei (E. 9.9.1). Einzig in den Städten Kabul (BVGE 2011/7 insbes. E. 9.9.2), Mazar-i-Sharif (BVGE 2011/49 E. 7.3.6 und 7.3.7) und Herat (BVGE 2011/38, E. 4.3.1-4.3.3) stellten sich die Sicherheitslage und die humanitäre Situation heute weniger bedrohlich dar, als in den übrigen Landesteilen Afghanistans. Unter der Voraussetzung begünstigender Umstände (insbes. tragfähiges Beziehungsnetz, Möglichkeit zur Sicherung des Existenzminimums, gesicherte Wohnsituation, guter Gesundheitszustand) könne ein Vollzug der Wegweisung in dieses Städte zumutbar sein (BVGE 2011/49 E. 7.3.5-7.3.8). Vor dem Hintergrund der Ausführungen in E. 5.2 und angesichts der Tatsache, dass die vom Beschwerdeführer eingereichte Tazkira dessen wiederholt gemachte Angabe, aus dem Dorf D._______ zu stammen, stützt, ist mit überwiegender Wahrscheinlichkeit davon auszugehen, dass der Beschwerdeführer nicht aus einer der drei zuvor erwähnten Städte stammt. Die Schilderungen des Beschwerdeführers bezüglich des Verbleibs seines Vaters sind zwar durchaus wirr ausgefallen. Indessen lassen sich ihnen keine klaren Hinweise dafür entnehmen, dass der Beschwerdeführer heute in Kabul, Mazar-i-Sharif oder Herat über ein tragfähiges Beziehungsnetz mit gesicherter Existenz verfügt. Folglich erweist sich der Wegeweisungsvollzug des Beschwerdeführers nach Afghanistan als unzumutbar im Sinne von Art. 83 Abs. 4 AuG, weshalb er in der Schweiz vorläufig aufzunehmen ist (Art. 83 Abs. 1 AuG). Aus den beiden bei den Akten liegenden Strafbefehlen der Staatsanwaltschaft des Kantons H._______ (vom 24. Juli 2013 betreffend Busse von Fr. 50.- wegen Fahrens im Postauto ohne gültigen Fahrausweis, vgl. A16/3; sowie vom 11. Dezember 2013 betreffend Busse von Fr. 100.- wegen Ungehorsams im Betreibungsverfahren durch Nichtbefolgen von Vorladungen des Betreibungsamtes, vgl. A24/3) ergeben sich keine Gründe im Sinne von Art. 83 Abs. 7 AuG, die einer Anordnung der vorläufigen Aufnahme entgegenstehen könnten.</w:t>
      </w:r>
    </w:p>
    <w:p>
      <w:r>
        <w:rPr>
          <w:b/>
        </w:rPr>
        <w:t>E. 6</w:t>
      </w:r>
    </w:p>
    <w:p>
      <w:r>
        <w:t>Nach dem Gesagten ist die Beschwerde gutzuheissen, soweit sie nicht durch Rückzug gegenstandslos geworden ist. Die Dispositivziffern 4 und 5 der angefochtenen Verfügung sind aufzuheben und das SEM ist anzuweisen, den Beschwerdeführer infolge Unzumutbarkeit des Wegweisungsvollzugs in der Schweiz vorläufig aufzunehmen (Art. 44 AsylG; Art. 83 Abs. 1 und 4 AuG).</w:t>
      </w:r>
    </w:p>
    <w:p>
      <w:r>
        <w:rPr>
          <w:b/>
        </w:rPr>
        <w:t>E. 7</w:t>
      </w:r>
    </w:p>
    <w:p>
      <w:r>
        <w:t>Bei diesem Ausgang des Verfahrens, kann offen bleiben, ob die Vorinstanz den Anspruch des Beschwerdeführers auf rechtliches Gehör verletzt hat. Nichtsdestotrotz sei darauf hingewiesen, dass die Vorinstanz das bei ihr am 10. Juni 2014 eingegangene Schreiben eines afghanischen Staatsangehörigen in ihrer Verfügung nur dann hätte erwähnen und zur Begründung beiziehen dürfen, wenn sie dem Beschwerdeführer dazu vorgängig das rechtliche Gehör gewährt hätte - selbstverständlich unter Beachtung allfälliger privater Geheimhaltungsinteressen des Verfassers. Auch hätte die Vorinstanz die vom Beschwerdeführer angebotenen Dokumente seines Vaters entgegennehmen und in die Entscheidbegründung einfliessen lassen müssen. Da die Vorinstanz dem Beschwerdeführer den wesentlichen Inhalt des Lingua-Gutachtens im Schreiben vom 3. Juli 2014 zur Kenntnis brachte, hat sie das rechtliche Gehör bezüglich der Herkunftsabklärung indes gewahrt (vgl. Art. 28 VwVG). Einen Anspruch auf eine vollumfängliche Offenlegung des Gutachtens hat der Beschwerdeführer demgegenüber aufgrund der entgegenstehenden wesentlichen Geheimhaltungsinteressen nicht (vgl. Art. 27 VwVG).</w:t>
      </w:r>
    </w:p>
    <w:p>
      <w:r>
        <w:rPr>
          <w:b/>
        </w:rPr>
        <w:t>E. 8</w:t>
      </w:r>
    </w:p>
    <w:p>
      <w:r>
        <w:t>Die Verfahrenskosten betreffend gegenstandslos gewordener Rechtsbegehren werden in der Regel jener Partei auferlegt, deren Verhalten die Gegenstandslosigkeit bewirkt hat (Art. 5 des Reglements vom 21. Februar 2008 über die Kosten und Entschädigungen vor dem Bundesverwaltungsgericht [VGKE, SR 173.320.2]). Vorliegend wurde die Gegenstandslosigkeit der Rechtsbegehren bezüglich Flüchtlingseigenschaft und Asyl durch deren Rückzug durch den Beschwerdeführer bewirkt, weshalb ihm die reduzierten Verfahrenskosten aufzuerlegen wären. Der Beschwerdeführer stellte in seiner Rechtsmitteleingabe vom 25. August 2014 jedoch ein Gesuch um unentgeltliche Rechtspflege im Sinne von Art. 65 Abs. 1 VwVG, welches das Gericht mit Instruktionsverfügung vom 2. September 2014 guthiess. Die finanziellen Verhältnisse des Beschwerdeführers haben sich gemäss Aktenlage seither nicht wesentlich verändert. Folglich werden vom Beschwerdeführer keine Verfahrenskosten erhoben. Die Beschwerdeinstanz kann der ganz oder teilweise obsiegenden Partei von Amtes wegen oder auf Begehren hin eine Entschädigung für die ihr erwachsenen notwendigen und verhältnismässig hohen Kosten zusprechen (Art. 64 Abs. 1 VwVG i.V.m. Art. 7 Abs. 1 und 2 VGKE). Der Beschwerdeführer hat bezüglich der nicht gegenstandslos gewordenen Rechtsbegehren obsiegt. Es rechtfertigt sich deshalb, dass ihm der Aufwand seines Rechtsvertreters bis zum Rückzug der Anträge betreffend Flüchtlingseigenschaft und Asyl (d.h. bis zum 18. September 2014) zur Hälfte und der Aufwand danach vollumfänglich entschädigt wird. Der in der Kostennote des Rechtsvertreters ausgewiesene Gesamtaufwand von Fr. 2'268.55 (inkl. MwSt. und Auslagen) ist als angemessen zu erachten. Der davon auf die Zeit bis zum 18. September 2014 entfallende Anteil beläuft sich auf Fr. 1'965.50 (inkl. MwSt. und Auslagen). Davon hat die Vorinstanz die Hälfte, das heisst Fr. 982.80 (inkl. MwSt. und Auslagen), zu übernehmen. Der auf die Zeit vom 18. September 2014 an entfallende Anteil beläuft sich auf Fr. 303.00 (inkl. MwSt. und Auslagen). Dieser Betrag ist vollumfänglich von der Vorinstanz zu übernehmen. Die vom SEM auszurichtende Parteientschädigung wird demnach auf insgesamt Fr. 1'285.80 (inkl. MwSt. und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