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E-4746/2024 vom 27. September 2024</w:t>
      </w:r>
    </w:p>
    <w:p>
      <w:r>
        <w:t>Bundesverwaltungsgericht, 2024-09-27, DE</w:t>
      </w:r>
    </w:p>
    <w:p>
      <w:r>
        <w:rPr>
          <w:b/>
        </w:rPr>
        <w:t xml:space="preserve">Quelle: </w:t>
      </w:r>
      <w:r>
        <w:t>https://mcp.opencaselaw.ch/entscheid/bvger_E-4746_2024</w:t>
      </w:r>
    </w:p>
    <w:p>
      <w:r>
        <w:t>FR: TAF E-4746/2024 du 27 septembre 2024</w:t>
      </w:r>
    </w:p>
    <w:p>
      <w:r>
        <w:t>IT: TAF E-4746/2024 del 27 settembre 2024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März 2024 E. 11.2 f.), dass mit der Vorinstanz festzustellen ist, der Beschwerdeführer verfüge in seinem Heimatstaat über ein stabiles familiäres Beziehungsnetz, eine ge- sicherte Wohnsituation sowie über genügende Schulbildung und Arbeits- erfahrung im elterlichen Landwirtschaftsbetrieb (vgl. SEM-act. A46 ad F16, F20 f., F23 ff. und F35 ff.),</w:t>
      </w:r>
    </w:p>
    <w:p>
      <w:r>
        <w:t>E-4746/2024 Seite 9 dass ihm im Bedarfsfall die Möglichkeit einer Wohnsitznahme in einem an- deren Landesteil offensteht, dass insgesamt nicht davon auszugehen ist, der Beschwerdeführer gerate bei einer Rückkehr aus sozialen oder wirtschaftlichen Gründen in eine exis- tenzielle Notlage, dass in Bezug auf die psychischen Beschwerden des Beschwerdeführers festzuhalten ist, dass nach Lehre und konstanter Praxis nur dann auf Un- zumutbarkeit des Wegweisungsvollzugs aus medizinischen Gründen zu schliessen ist, wenn die notendige medizinische Behandlung im Heimat- staat nicht zur Verfügung steht und die Rückkehr zu einer raschen und le- bensgefährdenden Beeinträchtigung des Gesundheitszustands der be- troffenen Person führen würde (vgl. BVGE 2011/50 E. 8.3 und 2009/2 E. 9.3.2, je m.w.H.), dass vorliegend keine Hinweise auf eine lebensgefährdende Beeinträchti- gung des Gesundheitszustands des Beschwerdeführers bestehen und von der Behandelbarkeit psychischer Erkrankungen ist der Türkei auszugehen ist (vgl. etwa Urteil E-895/2024 vom 27. März 2024 E. 8.3.3 m.w.H.), dass sich der Vollzug der Wegweisung somit auch als zumutbar erweist, dass der Vollzug der Wegweisung des Beschwerdeführers in den Heimat- staat schliesslich möglich ist, da keine Vollzugshindernisse bestehen (Art. 83 Abs. 2 AIG), und es dem Beschwerdeführer obliegt, bei der Be- schaffung gültiger Reisepapiere mitzuwirken (vgl. Art. 8 Abs. 4 AsylG und dazu auch BVGE 2008/34 E. 12), dass nach dem Gesagten der vom Staatssekretariat verfügte Vollzug der Wegweisung zu bestätigen ist, dass die angefochtene Verfügung Bundesrecht nicht verletzt, den rechts- erheblichen Sachverhalt richtig sowie vollständig feststellt (Art. 106 Abs. 1 AsylG) und – soweit überprüfbar – angemessen ist, weshalb die Be- schwerde abzuweisen ist, dass bei diesem Ausgang des Verfahrens die Kosten von Fr. 750.– (Art. 1–3 des Reglements vom 21. Februar 2008 über die Kosten und Ent- schädigungen vor dem Bundesverwaltungsgericht [VGKE, SR 173.320.2]) dem Beschwerdeführer aufzuerlegen (Art. 63 Abs. 1 VwVG) und der in gleicher Höhe einbezahlte Kostenvorschuss zur Begleichung dieser Ver- fahrenskosten zu werden ist.</w:t>
      </w:r>
    </w:p>
    <w:p>
      <w:r>
        <w:t>E-4746/2024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