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E-4735/2013 vom 29. August 2013</w:t>
      </w:r>
    </w:p>
    <w:p>
      <w:r>
        <w:t>Bundesverwaltungsgericht, 2013-08-29, DE</w:t>
      </w:r>
    </w:p>
    <w:p>
      <w:r>
        <w:rPr>
          <w:b/>
        </w:rPr>
        <w:t xml:space="preserve">Quelle: </w:t>
      </w:r>
      <w:r>
        <w:t>https://mcp.opencaselaw.ch/entscheid/bvger_E-4735_2013</w:t>
      </w:r>
    </w:p>
    <w:p>
      <w:r>
        <w:t>FR: TAF E-4735/2013 du 29 août 2013</w:t>
      </w:r>
    </w:p>
    <w:p>
      <w:r>
        <w:t>IT: TAF E-4735/2013 del 29 agosto 2013</w:t>
      </w:r>
    </w:p>
    <w:p>
      <w:pPr>
        <w:pStyle w:val="Heading2"/>
      </w:pPr>
      <w:r>
        <w:t>Regeste</w:t>
      </w:r>
    </w:p>
    <w:p>
      <w:r>
        <w:t>Flughafenverfahren (Asyl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fristgerecht eingereichte Beschwerde (Art. 108 Abs. 2 AsylG) ist einzutreten.</w:t>
      </w:r>
    </w:p>
    <w:p>
      <w:r>
        <w:rPr>
          <w:b/>
        </w:rPr>
        <w:t>E. 2.1</w:t>
      </w:r>
    </w:p>
    <w:p>
      <w:r>
        <w:t>Die Beschwerde ist in englischer Sprache und damit nicht in einer Amtssprache des Bundes (vgl. Art. 105 AsylG i.V.m. Art. 33a VwVG und Art. 70 Abs. 1 der Bundesverfassung der Schweizerischen Eidgenossenschaft vom 18. April 1999 [BV, SR 101]) abgefasst. Die Eingabe weist keine Unklarheiten auf, weshalb praxisgemäss auf die Einholung einer Übersetzung in eine Amtssprache zu verzichten ist (vgl. statt vieler Urteil des Bundesverwaltungsgerichts E-5509/2011 vom 22. November 2011).</w:t>
      </w:r>
    </w:p>
    <w:p>
      <w:r>
        <w:rPr>
          <w:b/>
        </w:rPr>
        <w:t>E. 2.2</w:t>
      </w:r>
    </w:p>
    <w:p>
      <w:r>
        <w:t>Soweit in der Beschwerde Anträge zum Verfahren gestellt werden - Wiederherstellung der aufschiebenden Wirkung, vorsorgliche Anweisung der zuständigen Behörde, die Kontaktaufnahme mit den Behörden des Heimat- und Herkunftsstaats sowie jegliche Datenweitergabe an dieselben zu unterlassen sowie (eventualiter) bei bereits erfolgter Datenweitergabe darüber in einer separaten Verfügung informiert zu werden -, so ist die Beschwerde mangelhaft, weil es an einer Begründung fehlt (Art. 52 Abs. 1 VwVG). Eine Rückweisung zur Verbesserung des Mangels (Art. 52 Abs. 2 VwVG) kann unterbleiben, weil die verfahrensrechtlichen Anträge mit dem vorliegenden Endentscheid gegenstandslos werden.</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4.1</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Das Bundesverwaltungsgericht hat die Anforderungen an das Glaubhaftmachen der Vorbringen in einem jüngeren Entscheid dargelegt und folgt dabei ständiger Praxis. Darauf kann hier verwiesen werden (vgl. statt vieler BGVE 2010/57 E. 2.2 und 2.3).</w:t>
      </w:r>
    </w:p>
    <w:p>
      <w:r>
        <w:rPr>
          <w:b/>
        </w:rPr>
        <w:t>E. 4.2</w:t>
      </w:r>
    </w:p>
    <w:p>
      <w:r>
        <w:t>Die Vorinstanz hat den Massstab des Glaubhaftmachens nach Art. 7 AsylG auf den vorliegenden Fall korrekt angewendet. Sie legt einlässlich dar, weshalb die Vorbringen des Beschwerdeführers nicht konkret, detailliert und differenziert ausgefallen seien. Die Aussagen zum langjährigen illegalen Aufenthalt in Nepal seien zusammenfassend nicht glaubhaft; vielmehr sei von einer nepalesischen Staatsangehörigkeit oder zumindest von einer ständigen Aufenthaltsbewilligung auszugehen. Sodann wird in der angefochtenen Verfügung ausführlich dargelegt, aus welchen Gründen die Angaben zur behaupteten Festnahme während einer Nacht im Jahre 2008 standardisiert und substanzlos blieben. Die Vorbringen seien als nicht erlebtes Konstrukt zu werten. Den Beweismitteln (Bestätigung des Tibet-Büros, eine Art Steuerbescheinigung und ein Schulzeugnis), die lediglich in Kopie vorliegen, kämen aufgrund ihrer leichten Manipulierbarkeit lediglich geringer Beweiswert zu, soweit sie überhaupt in einem Zusammenhang mit der geltend gemachten Verfolgung und dem behaupteten Aufenthaltsstatus ständen.</w:t>
      </w:r>
    </w:p>
    <w:p>
      <w:r>
        <w:rPr>
          <w:b/>
        </w:rPr>
        <w:t>E. 4.3</w:t>
      </w:r>
    </w:p>
    <w:p>
      <w:r>
        <w:t>Der Beschwerdeführer setzt sich mit den Erwägungen in der angefochtenen Verfügung nicht ansatzweise auseinander, sondern wiederholt statt dessen seine Lebensgeschichte. Damit zeigt er nicht auf, inwiefern die vorinstanzliche Beweiswürdigung Bundesrecht verletzen oder zu einer fehlerhaften Sachverhaltsfeststellung führen soll. Solches ist auch nicht ersichtlich. Zutreffend erwägt die Vorinstanz, dass die Angaben des Beschwerdeführers zu seinem familiären Umfeld äusserst spärlich ausgefallen sind. Ferner trifft zu, dass es sehr erstaunt, dass er über den Alltag eines illegal anwesenden Tibers in Nepal praktisch nichts zu berichten vermag, zumal die Exiltiber bekanntermassen regen Kontakt miteinander pflegen, was denn auch in der Beschwerde zum Ausdruck kommt (Beschwerde S. 7). In Übereinstimmung mit der Vorinstanz ist sodann festzuhalten, dass die Umstände der Ausreise und deren Finanzierung im Dunkeln bleiben, wobei die Vorbringen in der Beschwerde keine Klarheit bringen (Beschwerde S. 10 oben). Die Annahme, angesichts der unglaubhaften Angaben sei davon auszugehen, dass der Beschwerdeführer sich legal in Nepal aufgehalten habe, ist nicht zu beanstanden. Schliesslich ist der Vorinstanz auch darin zuzustimmen, dass die Vorbringen zur behaupteten Demonstration und zur Festnahme während einer Nacht gänzlich substanzlos bleiben. Die Beschwerdeführer hat somit nichts vorgebracht, was geeignet wäre, seine Flüchtlingseigenschaft glaubhaft zu machen, weshalb die Vorinstanz das Asylgesuch zu Recht abgelehnt hat.</w:t>
      </w:r>
    </w:p>
    <w:p>
      <w:r>
        <w:rPr>
          <w:b/>
        </w:rPr>
        <w:t>E. 5</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Anordnung der Wegweisung ist nicht zu beanstanden.</w:t>
      </w:r>
    </w:p>
    <w:p>
      <w:r>
        <w:rPr>
          <w:b/>
        </w:rPr>
        <w:t>E. 6.1</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der Konvention vom 4. November 1950 zum Schutze der Menschenrechte und Grundfreiheiten [EMRK, SR 0.101]. Aus den Aussagen des Beschwerdeführers und den Akten ergeben sich keine konkreten Anhaltspunkte dafür, dass er für den Fall einer Ausschaffung nach Nepal dort mit beachtlicher Wahrscheinlichkeit einer nach Art. 3 EMRK oder Art. 1 FoK verbotenen Strafe oder Behandlung ausgesetzt wäre. Der Vollzug der Wegweisung ist somit zulässig.</w:t>
      </w:r>
    </w:p>
    <w:p>
      <w:r>
        <w:rPr>
          <w:b/>
        </w:rPr>
        <w:t>E. 6.2</w:t>
      </w:r>
    </w:p>
    <w:p>
      <w:r>
        <w:t>Der Vollzug der Wegweisung kann nach Art. 83 Abs. 4 AuG unzumutbar sein, wenn der Ausländer im Heimat- oder Herkunftsstaat auf Grund von Situationen wie Krieg, Bürgerkrieg, allgemeiner Gewalt und medizinischer Notlage konkret gefährdet ist. In Nepal herrscht keine allgemeine Gewaltsituation. Der Beschwerdeführer ist ein relativer junger Mann und, soweit aus den Akten ersichtlich, bei guter Gesundheit. Er macht keine individuellen Gründe geltend, die einem Wegeweisungsvollzug entgegenstehen könnten, weshalb sich dieser als zumutbar erweist.</w:t>
      </w:r>
    </w:p>
    <w:p>
      <w:r>
        <w:rPr>
          <w:b/>
        </w:rPr>
        <w:t>E. 6.3</w:t>
      </w:r>
    </w:p>
    <w:p>
      <w:r>
        <w:t>Der Vollzug ist schliesslich nach Art. 83 Abs. 2 AuG als möglich zu bezeichnen, weil es der Beschwerdeführerin obliegt, sich bei der zuständigen Vertretung des Heimatstaates die für eine Rückkehr notwendigen Reisedokumente zu beschaffen (vgl. BVGE 2008/34 E. 12 S. 513-515).</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Dem Ersuchen des Beschwerdeführers um Gewährung der unentgeltlichen Prozessführung kann nicht entsprochen werden, da seine Begehren als aussichtslos zu gelten haben (Art. 65 Abs. 1 VwVG). Der Beschwerdeführer hat daher die Kosten des vorliegenden Verfahrens zu tragen (Art. 63 Abs. 1 VwVG), die auf Fr. 600.- festzusetzen sind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