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E-4732/2022 vom 31. Oktober 2022</w:t>
      </w:r>
    </w:p>
    <w:p>
      <w:r>
        <w:t>Bundesverwaltungsgericht, 2022-10-31, FR</w:t>
      </w:r>
    </w:p>
    <w:p>
      <w:r>
        <w:rPr>
          <w:b/>
        </w:rPr>
        <w:t xml:space="preserve">Quelle: </w:t>
      </w:r>
      <w:r>
        <w:t>https://mcp.opencaselaw.ch/entscheid/bvger_E-4732_2022</w:t>
      </w:r>
    </w:p>
    <w:p>
      <w:r>
        <w:t>FR: TAF E-4732/2022 du 31 octobre 2022</w:t>
      </w:r>
    </w:p>
    <w:p>
      <w:r>
        <w:t>IT: TAF E-4732/2022 del 31 ottobre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les arguments des recourants tirés d'une violation du droit d'être entendu et/ou d'un établissement inexact ou incomplet de l'état de fait pertinent se confondent avec ceux sur le fond et seront en conséquence examinés ci-après.</w:t>
      </w:r>
    </w:p>
    <w:p>
      <w:r>
        <w:rPr>
          <w:b/>
        </w:rPr>
        <w:t>E. 3</w:t>
      </w:r>
    </w:p>
    <w:p>
      <w:r>
        <w:t>Il s'agit de vérifier si c'est à bon droit que le SEM n'est pas entré en matière sur la demande d'asile des recourants et qu'il a prononcé leur transfert avec leurs enfants vers la Croatie, l'Etat Dublin responsable.</w:t>
      </w:r>
    </w:p>
    <w:p>
      <w:r>
        <w:rPr>
          <w:b/>
        </w:rPr>
        <w:t>E. 4.1</w:t>
      </w:r>
    </w:p>
    <w:p>
      <w:r>
        <w:t>L'Unité Dublin croate a admis sa responsabilité sur la base de l'art. 20 par. 5 RD III (cf. Faits let. H.).</w:t>
      </w:r>
    </w:p>
    <w:p>
      <w:r>
        <w:rPr>
          <w:b/>
        </w:rPr>
        <w:t>E. 4.2</w:t>
      </w:r>
    </w:p>
    <w:p>
      <w:r>
        <w:t>Il est vain aux recourants de se prévaloir d'un défaut d'instruction par le SEM en lien avec l'admission par l'Unité Dublin croate de sa responsabilité sur la base de l'art. 20 par. 5 RD III. En effet, il ressort de cette disposition réglementaire que la reprise en charge imposée à la Croatie a pour but de permettre à ce pays « d'achever le processus de détermination de l'Etat membre responsable de l'examen de la demande ». Partant, les recourants ne sauraient contester valablement leur reprise en charge fondée sur cette disposition en raison de l'absence d'une garantie individuelle d'un examen par la Croatie de leur demande de protection internationale. Ils perdent de vue que le transfert d'une personne vers l'Etat membre tenu à une obligation de reprise en charge n'a pas nécessairement pour objet de mener à bien l'examen de cette demande (cf. Cour de justice de l'Union européenne [CJUE], arrêt du 2 avril 2019 [GC] C-582/17 et C-583/17 [Staatssecretaris van Veiligheid en Justitie contre H. et R.] par. 60). A cet égard, la mention par l'Unité Dublin croate de l'art. 28 par. 1 de la directive procédure intitulé « Procédure en cas de retrait implicite de la demande ou de renonciation implicite à celle-ci » n'apparaît pas elle-même problématique. En effet,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CJUE, le départ des recourants avec leurs enfants du territoire de la Croatie dans lequel ils ont introduit une demande de protection internationale doit effectivement être assimilé, aux fins de l'application de l'art. 20 par. 5 RD III, à un retrait implicite de cette demande (cf. CJUE, arrêt du 2 avril 2019 [GC] C-582/17 et C-583/17 précité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les recourants en Croatie que le caractère inachevé du processus de détermination de l'Etat membre responsable de l'examen de cette demande au moment de leur départ du territoire croate sont établis sur la base des résultats Eurodac positifs et de la réponse du 19 août 2022 de l'Unité Dublin croate.</w:t>
      </w:r>
    </w:p>
    <w:p>
      <w:r>
        <w:rPr>
          <w:b/>
        </w:rPr>
        <w:t>E. 4.3</w:t>
      </w:r>
    </w:p>
    <w:p>
      <w:r>
        <w:t>En conclusion, la Croatie est bien l'Etat membre tenu de reprendre en charge les recourants et leurs enfants pour mener à terme le processus de détermination de l'Etat membre responsable de l'examen de leur demande de protection internationale. Les recourants ne sont pas fondés à dénoncer l'absence d'une garantie individuelle d'un examen par la Croatie de leur demande de protection internationale.</w:t>
      </w:r>
    </w:p>
    <w:p>
      <w:r>
        <w:rPr>
          <w:b/>
        </w:rPr>
        <w:t>E. 5.1</w:t>
      </w:r>
    </w:p>
    <w:p>
      <w:r>
        <w:t>Conformément à la pratique développée par le Tribunal dans le cadre de procédures de reprise en charge Dublin (cf. parmi d'autres, arrêts du Tribunal E-4696/2022 du 24 octobre 2022 consid. 5.4 ; E-4622/2022 du 14 octobre 2022 consid. 6.4 ; F-4447/2022 du 11 octobre 2022 consid. 5 ; F-3957/2022 du 11 octobre 2022 consid. 5.3; E-4367/2022 du 6 octobre 2022 consid. 6.4 et les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Conv. torture, demeure présumé (cf. ATAF 2017 VI/5 consid. 8.4 ; 2010/45 consid. 7.4 et 7.5).</w:t>
      </w:r>
    </w:p>
    <w:p>
      <w:r>
        <w:rPr>
          <w:b/>
        </w:rPr>
        <w:t>E. 5.2</w:t>
      </w:r>
    </w:p>
    <w:p>
      <w:r>
        <w:t>En l'espèce, il est vain aux recourants de critiquer l'argumentaire du SEM sur l'absence de défaillances systémiques en se référant à l'arrêt de cassation du Tribunal F-5675/2021 du 6 janvier 2022 consid. 4.6 et 4.7. En effet, cet arrêt concernait une procédure de prise en charge Dublin. Pour le surplus, la position du SEM sur l'absence de défaillance systémique dans le cas d'espèce de reprise en charge Dublin est conforme à la pratique précitée du Tribunal. Les rapports et articles cités par les recourants (cf. Faits let. K.) ne permettent pas d'aboutir à une autre conclusion puisqu'ils dénoncent une pratique de violences policières non pas à l'encontre de requérants d'asile repris en charge par la Croatie en application du RD III, mais à l'encontre de migrants entrés en Croatie par une frontière extérieure à l'espace Schengen. Quant aux allégations des recourants sur les violences subies de la part de la police croate aux fins du relevé de leurs empreintes digitales,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des recourants et de leurs enfants vers la Croatie, le premier Etat membre auprès duquel ils ont introduit leur demande (sur la base de l'art. 20 par. 5 RD III). Les griefs du recours à cet égard s'avèrent infondés.</w:t>
      </w:r>
    </w:p>
    <w:p>
      <w:r>
        <w:rPr>
          <w:b/>
        </w:rPr>
        <w:t>E. 6.1</w:t>
      </w:r>
    </w:p>
    <w:p>
      <w:r>
        <w:t>Les recourants font valoir que le SEM aurait dû admettre un renversement de la présomption de sécurité pour des raisons qui leur sont propres.</w:t>
      </w:r>
    </w:p>
    <w:p>
      <w:r>
        <w:rPr>
          <w:b/>
        </w:rPr>
        <w:t>E. 6.2.1</w:t>
      </w:r>
    </w:p>
    <w:p>
      <w:r>
        <w:t>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les recourants reprochent au SEM de n'avoir pas suffisamment investigué les violences subies de la part de la police croate, y compris sous l'angle des faits médicaux sous l'aspect psychique, d'avoir également insuffisamment motivé sa décision à ce sujet et par la même occasion violé le « droit international impératif ». En effet, le SEM a motivé sa décision à ce sujet à satisfaction. Il ressort clairement de la motivation de la décision attaquée qu'il a considéré leurs allégations sur les mauvais traitements de la part des autorités croates comme n'étant ni étayées ni pertinentes. La question de savoir si cette appréciation est correcte relève du fond, mais non de la forme. C'est ce qu'il conviendra encore de vérifier plus bas. S'agissant de l'établissement des faits, il convient de constater que les recourants ont eu tout loisir de s'exprimer au sujet de la violence subie de la part de la police croate lors de leur audition respective du 5 août 2022 qui s'est tenue en présence de leur mandataire. En outre, confrontés à l'appréciation du SEM sur le caractère non étayé de leurs allégations à ce sujet, il leur aurait appartenu d'apporter dans leur mémoire de recours toutes les précisions qu'ils auraient jugées utiles quant à ces violences et, plus largement, quant à leur vécu avec leurs enfants en Croatie. Cette appréciation est d'autant plus justifiée qu'ils maîtrisent le français (langue dans laquelle ils ont été auditionnés séparément), de sorte qu'ils ont pu s'entretenir avec leur mandataire sans devoir recourir aux services d'un interprète. Pour le reste, la nécessité de l'introduction d'un suivi psychiatrique à bref délai, que ce soit pour eux ou leurs enfants, ne ressort d'aucune des nombreuses pièces médicales produites devant le SEM. Partant, les recourants ne sont aucunement fondés à reprocher au SEM de n'avoir pas établi à satisfaction les faits médicaux sous l'aspect psychique (cf. ATAF 2009/50 consid. 10.2.2). A noter encore que, conformément à la jurisprudence, un rapport psychiatrique ne permet pas en lui-même d'établir des évènements décrits dans une anamnèse comme étant à l'origine des symptômes décrits par le patient (cf. ATAF 2015/11 consid. 7.2.1 et 7.2.2). Sur le fond, le Tribunal partage l'appréciation du SEM, selon laquelle les allégations des recourants à l'occasion de leur audition respective du 5 août 2022 quant aux violences policières subies dans le cadre de l'application de la procédure de relevé de leurs empreintes digitales (cf. Faits let. E) sont, d'une manière générale, vagues et non étayées. De surcroît, celles sur le relevé de leurs empreintes en pleine forêt dans un pays qui leur était inconnu ne sont pas crédibles, eu égard à leurs bonnes connaissances de la langue anglaise (cf. pces A37 et A38 : p. 4 ch. 1.17.02 et 1.17.03), à leur degré d'études (cf. pces A37 et A38 : p. 4 ch. 1.17.03) et à la réponse croate dont il ressort qu'ils ont quitté sans autorisation un centre de réception. A noter encore qu'en procédant au relevé de leurs empreintes digitales au moment de leur interpellation et de l'introduction de leur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Dans ces circonstances, les allégations des recourants ne suffisent pas à établir qu'aux fins du relevé de leurs empreintes, ils ont subi de la part de la police croate des moyens de contrainte contraires à l'art. 3 CEDH ou à l'art. 3 de la Convention du 10 décembre 1984 contre la torture et autres peines ou traitements cruels, inhumains ou dégradants (ci-après : Conv. torture, RS 0.105). En outre, elles ne sont pas décisives quant à la conformité de leur transfert au regard de ces dispositions. En effet, il n'y a pas de raison concrète et sérieuse d'admettre que leur transfert à Zagreb (cf. acceptation de l'Unité Dublin croate) risque de les exposer à une situation similaire à celle qu'ils disent avoir connue à M._______ lors de leur interpellation en tant que personnes étrangères en situation irrégulière jusqu'à la prise de leurs empreintes digitales et à l'enregistrement de leur demande d'asile. En particulier, les rapports et articles qu'ils citent dans leur recours (cf. Faits let. K.) ne permettent pas d'aboutir à une autre conclusion. En effet, ils dénoncent une pratique de violences policières non pas à l'encontre de requérants d'asile repris en charge par la Croatie en application du RD III, mais à l'encontre de migrants entrés en Croatie par une frontière extérieure à l'espace Schengen. Enfin, il est vain aux recourants de se référer à l'arrêt de cassation du Tribunal D-43/2021 du 12 février 2021 qui concerne un autre cas d'espèce et qui ne reflète pas la pratique actuelle du Tribunal dans les procédures Dublin Croatie de reprise en charge.</w:t>
      </w:r>
    </w:p>
    <w:p>
      <w:r>
        <w:rPr>
          <w:b/>
        </w:rPr>
        <w:t>E. 6.3.2</w:t>
      </w:r>
    </w:p>
    <w:p>
      <w:r>
        <w:t>Pour le reste, certes, comme déjà dit, le transfert des recourants avec leurs enfants vers la Croatie tenue à une obligation de reprise en charge n'a pas nécessairement pour objet de mener à bien l'examen de leur demande de protection internationale (cf. consid. 4 ci-avant), étant entendu que la Croatie devra procéder à cet examen si elle s'estime responsable au terme du processus de détermination. S'agissant de ce processus, il n'y a pas d'indices concrets et sérieux qui permettraient d'admettre un risque réel de refoulement en chaîne des recourants et de leurs enfants à destination de la Grèce en violation du principe de non-refoulement ancré à l'art. 3 CEDH, eu égard aux considérants de la Cour européenne des droits de l'homme (ci-après : CourEDH) dans son arrêt du 21 janvier 2011 en l'affaire M.S.S. contre Belgique et Grèce (requête no 30696/09). Les recourants n'apportent d'ailleurs aucune argumentation en sens contraire.</w:t>
      </w:r>
    </w:p>
    <w:p>
      <w:r>
        <w:rPr>
          <w:b/>
        </w:rPr>
        <w:t>E. 6.3.3</w:t>
      </w:r>
    </w:p>
    <w:p>
      <w:r>
        <w:t>Les recourants se plaignent, en substance, du défaut d'accès du recourant en Suisse à un traitement adéquat de son hypertension artérielle, au motif qu'il est suivi pour celle-ci par un médecin spécialiste FMH en médecine interne et infectiologie plutôt que par un médecin spécialiste FMH en cardiologie et que l'hypertension n'est pas sous contrôle malgré les modifications apportées au traitement médicamenteux (cf. mémoire de recours p. 11). Cette argumentation relève d'une simple critique non étayée envers les décisions médicales concernant le recourant. Elle ne saurait donc être susceptible de remettre en cause la validité de la décision attaquée.</w:t>
      </w:r>
    </w:p>
    <w:p>
      <w:r>
        <w:rPr>
          <w:b/>
        </w:rPr>
        <w:t>E. 6.3.4</w:t>
      </w:r>
    </w:p>
    <w:p>
      <w:r>
        <w:t>Enfin, sur la base du dossier, il est établi que les maladies pour lesquelles un traitement médical est en cours sont les suivantes : un diabète chez la recourante et une hypertension artérielle résistante chez le recourant. Il n'est toutefois pas exclu que les enfants soient encore sous traitement antifongique et G._______ sous traitement antiparasitaire. Comme déjà dit, le grief des recourants d'établissement inexact ou incomplet de l'état de fait pertinent en lien avec l'absence d'instauration d'un suivi psychiatrique pour eux-mêmes et leurs enfants est infondé (cf. consid. 6.3.1). Cela étant, il est vain aux recourants d'invoquer que le transfert du recourant viole l'art. 3 CEDH en raison de son hypertension (cf. Faits let. K.). En effet, ils omettent de citer la source exacte sur la base de laquelle ils affirment que « selon l'OMS, une des mesures essentielles pour réduire la charge de morbidité de l'hypertension à partir du moment où celle-ci s'est déclarée est de réduire le stress ». Partant, leur argumentation n'est pas suffisamment étayée. D'ailleurs, ils semblent s'appuyer sur une fiche de l'OMS du 25 août 2021 relative à l'hypertension et accessible sur le site internet de cette organisation (www.who.int/fr Centre des médias Principaux repères Tous Hypertension [www.who.int/fr/news-room/fact-sheets/detail/hypertension] consulté le 28.10.2022). Il ne ressort toutefois pas de cette fiche que la réduction du stress serait propre à réduire l'hypertension artérielle et donc à diminuer le risque de complication lié à cette maladie. De surcroît, la poursuite du séjour du recourant en Suisse (le temps de l'examen de sa demande d'asile) ne serait à l'évidence pas en elle-même propre à mettre celui-ci à l'abri du risque de complication lié à une hypertension artérielle résistante. En outre et surtout, les recourants et leurs enfants sont présumés avoir accès en Croatie à des soins médicaux appropriés à leurs problèmes de santé, de sorte que leur transfert ne saurait contrevenir à l'art. 3 CEDH en raison de ces problèmes. Le SEM tiendra compte de l'état de santé de chacun d'eux dans le cadre des modalités de leur transfert, avec la transmission aux autorités croates des informations relatives à leurs éventuels besoins en matière de soins de santé comme prévu par les art. 31 et 32 RD III, étant remarqué que les recourants ont expressément consenti à la transmission des données médicales à l'Etat Dublin compétent (cf. Faits let. C. in fine).</w:t>
      </w:r>
    </w:p>
    <w:p>
      <w:r>
        <w:rPr>
          <w:b/>
        </w:rPr>
        <w:t>E. 6.3.5</w:t>
      </w:r>
    </w:p>
    <w:p>
      <w:r>
        <w:t>Si, contre toute attente, les recourants devaient toutefois, à l'issue de leur transfert avec leurs enfants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w:t>
      </w:r>
    </w:p>
    <w:p>
      <w:r>
        <w:rPr>
          <w:b/>
        </w:rPr>
        <w:t>E. 6.4</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les recourants ne sauraient valablement tirer argument ni de l'incertitude quant au traitement de leur demande de protection par les autorités croates résultant de leur reprise en charge fondée sur l'art. 20 par. 5 RD III, ni de leurs allégations relatives aux violences subies par la police croate, ni de défaillances systématiques dans la procédure d'asile et des conditions d'accueil en Croatie, ni de leurs problèmes de santé et ceux de leurs enfants pour se plaindre sous l'angle des raisons humanitaires d'une motivation insuffisante, d'un établissement inexact ou incomplet de l'état de fait pertinent ou encore d'un abus ou excès dans l'exercice du pouvoir d'appréciation.</w:t>
      </w:r>
    </w:p>
    <w:p>
      <w:r>
        <w:rPr>
          <w:b/>
        </w:rPr>
        <w:t>E. 6.5</w:t>
      </w:r>
    </w:p>
    <w:p>
      <w:r>
        <w:t>En conclusion, le SEM a valablement considéré, sur la base d'une motivation suffisante et d'un dossier instruit à satisfaction, qu'il n'y avait pas lieu de faire application de la clause de souveraineté ancrée à l'art. 17 par. 1 du règlement Dublin III, que ce soit pour des raisons tirées du respect, par la Suisse, de ses obligations internationales ou pour des raisons humanitaires. Les griefs du recours sur ces points sont également infondés.</w:t>
      </w:r>
    </w:p>
    <w:p>
      <w:r>
        <w:rPr>
          <w:b/>
        </w:rPr>
        <w:t>E. 7</w:t>
      </w:r>
    </w:p>
    <w:p>
      <w:r>
        <w:t>Vu ce qui précède, c'est à bon droit que le SEM n'est pas entré en matière sur la demande d'asile, en application de l'art. 31a al. 1 let. b LAsi, et qu'il a prononcé le transfert des recourants et de leurs enfants de Suisse vers la Croatie, en application de l'art. 44 LAsi, aucune exception à la règle générale du renvoi n'étant réalisée (cf. art. 32 OA 1). Par conséquent, le recours doit être rejeté. Il est renoncé à un échange d'écritures (cf. art. 111a al. 1 LAsi).</w:t>
      </w:r>
    </w:p>
    <w:p>
      <w:r>
        <w:rPr>
          <w:b/>
        </w:rPr>
        <w:t>E. 8</w:t>
      </w:r>
    </w:p>
    <w:p>
      <w:r>
        <w:t>La suspension de l'exécution du renvoi a été prononcée à titre de mesure superprovisionnelle par décision incidente du 20 octobre 2022 en application de l'art. 56 PA (cf. Faits let. L.a). Elle a perduré jusqu'au présent prononcé, soit au-delà du délai prévu à l'art. 107a al 3 LAsi pour statuer sur la demande d'octroi de l'effet suspensif. Elle équivaut par conséquent pratiquement à l'admission de cette demande au sens de cette disposition. Elle conduit donc à une interruption du délai de transfert, qui ne courra qu'à partir du prononcé du présent arrêt (cf. ATAF 2015/19 consid. 5.4). Le 26 octobre 2022, le SEM a informé l'Unité Dublin croate de ce report (cf. art. 9 par. 1 du règlement d'application du règlement Dublin II).</w:t>
      </w:r>
    </w:p>
    <w:p>
      <w:r>
        <w:rPr>
          <w:b/>
        </w:rPr>
        <w:t>E. 9</w:t>
      </w:r>
    </w:p>
    <w:p>
      <w:r>
        <w:t>La demande d'assistance judiciaire totale doit être admise (cf. art. 65 al. 1 PA et art. 102m al. 1 let. a, al. 3 et al. 4 LAsi). Partant, les recourants, qui ont succombé dans leurs conclusions, sont dispensés du paiement des frais de procédure. En outre, Alfred Ngoyi Wa Mwanza est désigné en qualité de mandataire d'office. Au vu de l'issue du recours, une indemnité à titre d'honoraires et de débours lui sera versée pour les frais nécessaires occasionnés par le recours (cf. art. 8 à 11 du règlement du 21 février 2008 concernant les frais, dépens et indemnités fixés par le Tribunal administratif fédéral [FITAF, RS 173.320.2], applicables par analogie conformément à l'art. 12 FITAF). En l'absence de dépôt d'un décompte de prestations, elle est fixée sur la base du dossier (cf. art. 14 FITAF). Elle est arrêtée à 800 francs. Elle ne comprend aucun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