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E-4730/2015 vom 24. November 2016</w:t>
      </w:r>
    </w:p>
    <w:p>
      <w:r>
        <w:t>Bundesverwaltungsgericht, 2016-11-24, FR</w:t>
      </w:r>
    </w:p>
    <w:p>
      <w:r>
        <w:rPr>
          <w:b/>
        </w:rPr>
        <w:t xml:space="preserve">Quelle: </w:t>
      </w:r>
      <w:r>
        <w:t>https://mcp.opencaselaw.ch/entscheid/bvger_E-4730_2015</w:t>
      </w:r>
    </w:p>
    <w:p>
      <w:r>
        <w:t>FR: TAF E-4730/2015 du 24 novembre 2016</w:t>
      </w:r>
    </w:p>
    <w:p>
      <w:r>
        <w:t>IT: TAF E-4730/2015 del 24 novembre 2016</w:t>
      </w:r>
    </w:p>
    <w:p>
      <w:pPr>
        <w:pStyle w:val="Heading2"/>
      </w:pPr>
      <w:r>
        <w:t>Regeste</w:t>
      </w:r>
    </w:p>
    <w:p>
      <w:r>
        <w:t>Asile et renvoi</w:t>
      </w:r>
    </w:p>
    <w:p>
      <w:pPr>
        <w:pStyle w:val="Heading2"/>
      </w:pPr>
      <w:r>
        <w:t>Erwägungen</w:t>
      </w:r>
    </w:p>
    <w:p>
      <w:r>
        <w:rPr>
          <w:b/>
        </w:rPr>
        <w:t>E. 5</w:t>
      </w:r>
    </w:p>
    <w:p>
      <w:r>
        <w:t>Il s'ensuit que le recours, en tant qu'il conteste le refus de la reconnaissance de la qualité de réfugié au recourant et le rejet de sa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7.1</w:t>
      </w:r>
    </w:p>
    <w:p>
      <w:r>
        <w:t>La décision d'exécuter le renvoi est régie par les art. 83 et 84 de la loi fédérale sur les étrangers du 16 décembre 2005 (LEtr, RS 142.20 ; cf. renvoi de l'art. 44 LAsi). L'exécution du renvoi est ordonnée si elle est licite, possible et peut raisonnablement être exigée. Si ces conditions ne sont pas réunies, l'admission provisoire doit être prononcée.</w:t>
      </w:r>
    </w:p>
    <w:p>
      <w:r>
        <w:rPr>
          <w:b/>
        </w:rPr>
        <w:t>E. 7.2</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7.2.1</w:t>
      </w:r>
    </w:p>
    <w:p>
      <w:r>
        <w:t>En l'occurrence, l'exécution du renvoi ne contrevient pas au principe de non-refoulement de l'art. 5 LAsi. Comme exposé plus haut, le recourant ne peut pas, sur la base des faits allégués, se prévaloir d'une crainte objectivement fondée de sérieux préjudices au sens de l'art. 3 LAsi. Il n'a pas réussi ni à démontrer l'existence d'une telle crainte reposant sur un risque objectivement sérieux d'être victime d'un préjudice suffisamment intense, ni à renverser la présomption selon laquelle les autorités kosovares sont en mesure de lui offrir une protection adéquate au cas où il risquerait sérieusement d'être victime d'un délit commis par un ou des tiers contre sa liberté, son intégrité physique voire sa vie.</w:t>
      </w:r>
    </w:p>
    <w:p>
      <w:r>
        <w:rPr>
          <w:b/>
        </w:rPr>
        <w:t>E. 7.2.2</w:t>
      </w:r>
    </w:p>
    <w:p>
      <w:r>
        <w:t>Le recourant n'a pas non plus démontré à satisfaction de droit que l'exécution de son renvoi vers le Kosovo constituerait un traitement interdit par l'art. 3 CEDH ou par l'art. 3 Conv. torture précité.</w:t>
      </w:r>
    </w:p>
    <w:p>
      <w:r>
        <w:rPr>
          <w:b/>
        </w:rPr>
        <w:t>E. 7.2.3</w:t>
      </w:r>
    </w:p>
    <w:p>
      <w:r>
        <w:t>L'exécution du renvoi du recourant ne transgresse aucun engagement de la Suisse relevant du droit international, de sorte qu'elle s'avère licite (cf. art. 83 al. 3 LEtr).</w:t>
      </w:r>
    </w:p>
    <w:p>
      <w:r>
        <w:rPr>
          <w:b/>
        </w:rPr>
        <w:t>E. 7.3</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w:t>
      </w:r>
    </w:p>
    <w:p>
      <w:r>
        <w:rPr>
          <w:b/>
        </w:rPr>
        <w:t>E. 7.3.1</w:t>
      </w:r>
    </w:p>
    <w:p>
      <w:r>
        <w:t>Le Kosovo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celle-ci (cf. ATAF 2009/52 consid. 10.2.5).</w:t>
      </w:r>
    </w:p>
    <w:p>
      <w:r>
        <w:rPr>
          <w:b/>
        </w:rPr>
        <w:t>E. 7.3.2</w:t>
      </w:r>
    </w:p>
    <w:p>
      <w:r>
        <w:t>Il ne ressort pas du dossier d'autres éléments dont on pourrait inférer que l'exécution du renvoi impliquerait pour le recourant une mise en danger concrète. Comme l'a relevé le SEM dans la décision attaquée, l'intéressé pourra bénéficier du soutien des membres de sa famille, de sa belle-famille et son réseau social pour se réinstaller au Kosovo, où il dispose également d'un logement. Il n'a pas non plus allégué souffrir de problèmes de santé susceptibles, par leur gravité, de constituer un motif d'empêchement à l'exécution de son renvoi (cf. ATAF 2011/50 consid. 8.3).</w:t>
      </w:r>
    </w:p>
    <w:p>
      <w:r>
        <w:rPr>
          <w:b/>
        </w:rPr>
        <w:t>E. 7.3.3</w:t>
      </w:r>
    </w:p>
    <w:p>
      <w:r>
        <w:t>Pour ces motifs, l'exécution du renvoi doit être considérée comme pouvant être raisonnablement exigée (cf. art. 83 al. 4 LEtr).</w:t>
      </w:r>
    </w:p>
    <w:p>
      <w:r>
        <w:rPr>
          <w:b/>
        </w:rPr>
        <w:t>E. 7.4</w:t>
      </w:r>
    </w:p>
    <w:p>
      <w:r>
        <w:t>L'exécution n'est pas possible lorsque l'étranger ne peut pas quitter la Suisse pour son Etat d'origine, son Etat de provenance ou un Etat tiers, ni être renvoyé dans un de ces Etats (art. 83 al. 2 LEtr). En l'espèce, l'exécution du renvoi est possible, le recourant étant en mesure d'entreprendre toute démarche nécessaire auprès de la représentation de son pays d'origine en vue de l'obtention de documents de voyage lui permettant de quitter la Suisse (cf. ATAF 2008/34 consid. 12).</w:t>
      </w:r>
    </w:p>
    <w:p>
      <w:r>
        <w:rPr>
          <w:b/>
        </w:rPr>
        <w:t>E. 7.5</w:t>
      </w:r>
    </w:p>
    <w:p>
      <w:r>
        <w:t>Il s'ensuit que le recours, en tant qu'il conteste la décision de renvoi et son exécution, doit être également rejeté et la décision attaquée confirmée sur ces points.</w:t>
      </w:r>
    </w:p>
    <w:p>
      <w:r>
        <w:rPr>
          <w:b/>
        </w:rPr>
        <w:t>E. 8</w:t>
      </w:r>
    </w:p>
    <w:p>
      <w:r>
        <w:t>En conséquence, le recours doit être rejeté et la décision attaquée confirmée.</w:t>
      </w:r>
    </w:p>
    <w:p>
      <w:r>
        <w:rPr>
          <w:b/>
        </w:rPr>
        <w:t>E. 9.1</w:t>
      </w:r>
    </w:p>
    <w:p>
      <w:r>
        <w:t>Les conclusions du recours n'étant pas apparues d'emblée vouées à l'échec et le recourant étant indigent, la demande de dispense de paiement des frais de procédure doit être admise (cf. art. 65 al. 1 PA). Il est donc statué sans frais.</w:t>
      </w:r>
    </w:p>
    <w:p>
      <w:r>
        <w:rPr>
          <w:b/>
        </w:rPr>
        <w:t>E. 9.2</w:t>
      </w:r>
    </w:p>
    <w:p>
      <w:r>
        <w:t>Me Caroline Vermeille est nommée comme mandataire d'office (cf. art. 110a al. 1 let. a et al. 3 LAsi). 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(cf. art. 8 al. 2 FITAF). En l'occurrence, l'indemnité est fixée sur la base du décompte de prestations du 3 août 2015. Le tarif horaire demandé par la mandataire est injustifié dans son ampleur : il est par conséquent réduit à 200 francs. En outre, les frais liés à la correspondance avec le SEM et le SPOMI ne concernent pas la procédure devant le Tribunal et ne seront donc pas indemnisés. L'ampleur des postes relatifs aux recherches juridiques et à la rédaction du recours de 12 pages paraissent également excessifs au regard de l'absence de complexité particulière, en droit, du cas d'espèce. Partant, l'indemnité est arrêtée à un montant de 2'384 francs, TVA comprise (soit onze heures de travail à 200 francs de l'heure et huit francs de frais, plus la TVA ; cf. art. 8 al. 2, art. 11 al. 3 et 4, art. 12,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