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E-4726/2006 vom 24. Februar 2010</w:t>
      </w:r>
    </w:p>
    <w:p>
      <w:r>
        <w:t>Bundesverwaltungsgericht, 2010-02-24, DE</w:t>
      </w:r>
    </w:p>
    <w:p>
      <w:r>
        <w:rPr>
          <w:b/>
        </w:rPr>
        <w:t xml:space="preserve">Quelle: </w:t>
      </w:r>
      <w:r>
        <w:t>https://mcp.opencaselaw.ch/entscheid/bvger_E-4726_2006</w:t>
      </w:r>
    </w:p>
    <w:p>
      <w:r>
        <w:t>FR: TAF E-4726/2006 du 24 février 2010</w:t>
      </w:r>
    </w:p>
    <w:p>
      <w:r>
        <w:t>IT: TAF E-4726/2006 del 24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haben ein schutzwürdiges Interesse an deren Aufhebung beziehungsweise Änderung und sind daher zur Einreichung der Beschwerde legitimiert. Auf die form- und fristgerecht eingereichte Beschwerde ist somit einzutreten (Art. 105 AsylG i.V.m. Art. 37 VGG und Art. 48 Abs. 1, 50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die Asylgesuche ab, da die Vorbringen der Beschwerdeführenden den Anforderungen an die Flüchtlingseigenschaft gemäss Art. 3 AsylG nicht genügten. Zur Begründung führte es aus, im Kosovo seien seit der Beendigung des bewaffneten Konflikts zwischen der Bundesrepublik Jugoslawien und den Mitgliedstaaten der NATO und dem Einmarsch der KFOR-Truppen am 12. Juni 1999 teilweise schwerwiegende Übergriffe auf Angehörige von ethnischen Minderheiten, namentlich Serben, zu verzeichnen. Es könne bis heute jedoch kein systematisches Vorgehen zur Vertreibung der ethnischen Minderheiten aus dem Kosovo festgestellt werden. Die KFOR und die internationale Polizei der United Nations Interim Administration Mission in Kosovo (UNMIK) seien in der Lage, die ethnischen Minderheiten im Kosovo zu schützen. Die KFOR-Präsenz sei gut sichtbar sowie flächendeckend und gehe bis zum Schutz einzelner Wohnobjekte. Bei Übergriffen würden die KFOR-Soldaten regelmässig intervenieren und Straftaten gegen Angehörige von Minderheiten würden geahndet. Da demnach vom Schutzwillen und der weitgehenden Schutzfähigkeit der KFOR sowie der UNMIK auszugehen sei, seien die von den Beschwerdeführenden geltend gemachten Bedrohungen und Angriffe seitens von Unbekannten beziehungsweise Kosovo-Albanern nicht asylrelevant.</w:t>
      </w:r>
    </w:p>
    <w:p>
      <w:r>
        <w:rPr>
          <w:b/>
        </w:rPr>
        <w:t>E. 5.2</w:t>
      </w:r>
    </w:p>
    <w:p>
      <w:r>
        <w:t>In der Rechtsmitteleingabe halten die Beschwerdeführenden daran fest, sie würden die Voraussetzungen zur Anerkennung als Flüchtlinge erfüllen. Die KFOR-Soldaten hätten damals kein Interesse gezeigt, die zwei Unbekannten zu verfolgen. Entgegen den Ausführungen des BFM herrsche im Kosovo kein Friede und würden die KFOR-Truppen der dort ansässigen serbischen Bevölkerung keinen Schutz bieten.</w:t>
      </w:r>
    </w:p>
    <w:p>
      <w:r>
        <w:rPr>
          <w:b/>
        </w:rPr>
        <w:t>E. 5.3</w:t>
      </w:r>
    </w:p>
    <w:p>
      <w:r>
        <w:t>Mit dem BFM und entgegen der in der Rechtsmitteleingabe vertretenen Ansicht ist festzuhalten, dass die Behörden im Heimatland der Beschwerdeführenden grundsätzlich in der Lage und willens sind, adäquaten Schutz vor Repressalien durch Dritte zu gewährleisten. Weiter ist festzustellen, dass sich der Kosovo am 17. Februar 2008 von Serbien losgesagt und die staatliche Unabhängigkeit prokalmiert hat. In der Folge anerkannten 65 Staaten, darunter die Schweiz, die USA und 22 der 27 EU-Mitgliedsländer den Kosovo als Staat. Die Beschwerdeführenden sind demnach als Staatsangehörige der Republik Kosovo zu betrachten. Serbien hat indes die Unabhängigkeit des Kosovo bisher nicht anerkannt und dieses Gebiet in seiner Verfassung von 2006 ausdrücklich als integralen Bestandteil Serbiens bezeichnet. Nach dem serbischen Gesetz Nr. 135/04 vom 21. Dezember 2004 besitzen die Beschwerdeführenden daher nach wie vor die serbische Staatsangehörigkeit, da sie serbischer Abstammung sind und auf dem (ehemaligen) Staatsgebiet der Republik Serbien geboren wurden. Bei dieser Sachlage kann davon ausgegangen werden, dass die Beschwerdeführenden von den serbischen Behörden weiterhin als serbische Staatsangehörige betrachtet werden. Personen, die mehrere Staatsangehörigkeiten besitzen, sind nicht auf den Schutz eines Drittstaates angewiesen, sofern sie in einem der Staaten, dessen Staatsangehörigkeit sie besitzen, Schutz vor Verfolgung finden können. Die Beschwerdeführenden, als aus dem Kosovo stammende ethnische Serben, können sich demzufolge nach Serbien begeben und dort aufgrund der Niederlassungsfreiheit Wohnsitz nehmen. Den Akten sind jedenfalls keine Hinweise zu entnehmen, dass ihnen dort asylrechtlich relevante Verfolgung drohen würde. Sie sind demnach nicht auf den Schutz der Schweiz angewiesen.</w:t>
      </w:r>
    </w:p>
    <w:p>
      <w:r>
        <w:rPr>
          <w:b/>
        </w:rPr>
        <w:t>E. 5.4</w:t>
      </w:r>
    </w:p>
    <w:p>
      <w:r>
        <w:t>Zusammenfassend ist festzuhalten, dass die Beschwerdeführenden keine Gründe nach Art. 3 AsylG glaubhaft machen oder nachweisen konnten. Es erübrigt sich daher, auf die Ausführungen in der Rechtsmitteleingabe näher einzugehen. Die Vorinstanz hat die Asylgesuche der Beschwerdeführenden demnach zu Recht abgelehnt.</w:t>
      </w:r>
    </w:p>
    <w:p>
      <w:r>
        <w:rPr>
          <w:b/>
        </w:rPr>
        <w:t>E. 6.1</w:t>
      </w:r>
    </w:p>
    <w:p>
      <w:r>
        <w:t>Lehnt das BFM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ARK [EMARK] 2001 Nr. 21).</w:t>
      </w:r>
    </w:p>
    <w:p>
      <w:r>
        <w:rPr>
          <w:b/>
        </w:rPr>
        <w:t>E. 7</w:t>
      </w:r>
    </w:p>
    <w:p>
      <w:r>
        <w:t>Das BFM hat die Beschwerdeführenden mit Verfügung vom 15. September 2005 zufolge Unzumutbarkeit des Vollzugs der Wegweisung vorläufig aufgenommen. Bei dieser Sachlage erübrigen sich weitere diesbezügliche Ausführungen.</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sind die Kosten von Fr. 600.-- den Beschwerdeführenden aufzuerlegen (Art. 63 Abs. 1 und 5 VwVG) und mit dem am 21. November 2005 geleisteten Kostenvorschuss in gleicher Höhe zu verrechnen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