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E-4721/2007 vom 7. Juni 2011</w:t>
      </w:r>
    </w:p>
    <w:p>
      <w:r>
        <w:t>Bundesverwaltungsgericht, 2011-06-07, DE</w:t>
      </w:r>
    </w:p>
    <w:p>
      <w:r>
        <w:rPr>
          <w:b/>
        </w:rPr>
        <w:t xml:space="preserve">Quelle: </w:t>
      </w:r>
      <w:r>
        <w:t>https://mcp.opencaselaw.ch/entscheid/bvger_E-4721_2007</w:t>
      </w:r>
    </w:p>
    <w:p>
      <w:r>
        <w:t>FR: TAF E-4721/2007 du 7 juin 2011</w:t>
      </w:r>
    </w:p>
    <w:p>
      <w:r>
        <w:t>IT: TAF E-4721/2007 del 7 giugno 2011</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112 des Bundesgesetzes vom 16. Dezember 2005 über die Ausländerinnen und Ausländer [AuG, SR 142.20]; Art. 83 Bst. c Ziff. 3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bzw. Änderung und ist daher zur Einreichung der Beschwer­de legitimiert (Art. 112 Abs. 1 AuG i.V.m.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49 VwVG).</w:t>
      </w:r>
    </w:p>
    <w:p>
      <w:r>
        <w:rPr>
          <w:b/>
        </w:rPr>
        <w:t>E. 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3.1</w:t>
      </w:r>
    </w:p>
    <w:p>
      <w:r>
        <w:t>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2 zum AuG). Gemäss Art. 126a Abs. 4 AuG gilt - unter Vor­behalt der Absätze 5-7 - für Personen, die im Zeitpunkt des In­krafttretens der am 16. Dezember 2005 be­schlossenen Änderung des Asylgesetzes vom 26. Juni 1998 (AsylG, SR 142.31) sowie des AuG vorläufig aufgenommen waren, das neue Recht. Nachdem der Beschwerdeführer mit Verfügung des BFM vom 22. Juli 2004 vorläufig aufgenommen wurde, ist aufgrund der genannten übergangsrechtlichen Regelung das Vorliegen der Voraussetzungen für die Aufhebung der vorläufigen Aufnahme nach neuem Recht - mithin nach Art. 84 Abs. 2 AuG - zu prüfen.</w:t>
      </w:r>
    </w:p>
    <w:p>
      <w:r>
        <w:rPr>
          <w:b/>
        </w:rPr>
        <w:t>E. 3.2</w:t>
      </w:r>
    </w:p>
    <w:p>
      <w:r>
        <w:t>Gemäss Art. 84 Abs. 1 AuG überprüft das Bundesamt nach erfolgter Anordnung einer vorläufigen Aufnahme periodisch, ob die Voraussetzungen für die vorläufige Aufnahme noch gegeben sind. Es hebt die vorläufige Aufnahme auf und ordnet den Vollzug der Weg- oder Ausweisung an, wenn die Voraussetzungen nicht mehr gegeben sind (Art. 84 Abs. 2 AuG).</w:t>
      </w:r>
    </w:p>
    <w:p>
      <w:r>
        <w:rPr>
          <w:b/>
        </w:rPr>
        <w:t>E. 3.3</w:t>
      </w:r>
    </w:p>
    <w:p>
      <w:r>
        <w:t>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Uebersax/Rudin/Hugi/Yar/Geiser, Ausländerrecht, 2. Aufl., Basel 2009, Rz. 11.148).</w:t>
      </w:r>
    </w:p>
    <w:p>
      <w:r>
        <w:rPr>
          <w:b/>
        </w:rPr>
        <w:t>E. 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und Art. 25 Abs. 2 der Bundesverfassung der Schweizerischen Eidgenossenschaft vom 18. April 1999 [BV, SR 101]).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vormaligen Schweizerischen Asylrekurskommission [EMARK] 2001 Nr. 16 S. 122, mit weiteren Hin­weisen).</w:t>
      </w:r>
    </w:p>
    <w:p>
      <w:r>
        <w:rPr>
          <w:b/>
        </w:rPr>
        <w:t>E. 4.2</w:t>
      </w:r>
    </w:p>
    <w:p>
      <w:r>
        <w:t>Da der Beschwerdeführer gemäss dem Entscheid des BFM vom 17. Juni 2003 nicht als Flüchtling anerkannt wurde und die Verfügung in diesem Punkt mangels Anfechtung in Rechtskraft erwachsen ist, hat das BFM in der Verfügung vom 21. Juni 2007 zu Recht ausgeführt, dass der Grundsatz der Nichtrückschiebung gemäss Art. 5 Abs. 1 AsylG vorliegend nicht angewendet werden kann. Mangels substantiierter Vorbringen und aufgrund der Aktenlage kann schliesslich ausgeschlossen werden, dass dem Beschwerdeführer bei einer Rückkehr nach Bosnien und Herzegowina eine konkrete Gefahr im Sinne von Art. 3 EMRK droht. Nach dem Gesagten ist der Vollzug der Wegweisung sowohl im Sinne der asyl- als auch der völkerrechtlichen Bestimmungen zulässig.</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BBI 2002 3818)</w:t>
      </w:r>
    </w:p>
    <w:p>
      <w:r>
        <w:rPr>
          <w:b/>
        </w:rPr>
        <w:t>E. 5.2</w:t>
      </w:r>
    </w:p>
    <w:p>
      <w:r>
        <w:t>Das BFM hielt in der angefochtenen Verfügung fest, der Bundesrat habe Bosnien und Herzegowina mit Beschluss vom 25. Juni 2003 als verfolgungssicheren Staat im Sinne von Art. 34 AsylG bezeichnet. Weder die allgemeine politische Situation noch die wirtschaftliche Lage würden gegen die Zumutbarkeit der Rückführung des Beschwerdeführers in den Heimatstaat sprechen. In Bezug auf die durch den Beschwerdeführer geltend gemachte fehlende Existenzgrundlage im Heimatland sei auf dessen verschiedene Arbeitserfahrungen als Mechaniker, Maurer und Elektriker zu verweisen, die er trotz offenbar fehlender Berufsausbildung habe machen können.</w:t>
      </w:r>
    </w:p>
    <w:p>
      <w:r>
        <w:rPr>
          <w:b/>
        </w:rPr>
        <w:t>E. 5.3</w:t>
      </w:r>
    </w:p>
    <w:p>
      <w:r>
        <w:t>Der Beschwerdeführer entgegnete in seiner Beschwerdeschrift, er sei im Kosovo geboren und habe dort den grössten Teil seines Lebens verbracht. Von 1988 bis 1993 habe er in Sarajewo, ab August 1993 bis Juli 1997 in Deutschland gelebt, bevor er mit seiner Familie in den Kosovo zurückgekehrt sei, den er als seinen Heimatstaat erachte. In seinem Heimatland habe er aber weder ein soziales Netz noch eine Unterkunft, da sein Haus am 5. Mai 2000 niedergebrannt worden sei.</w:t>
      </w:r>
    </w:p>
    <w:p>
      <w:r>
        <w:rPr>
          <w:b/>
        </w:rPr>
        <w:t>E. 5.4</w:t>
      </w:r>
    </w:p>
    <w:p>
      <w:r>
        <w:t>Der Beschwerdeführer besitzt die bosnische Staatsangehörigkeit und bringt aktuell keine individuellen Hindernisse gegen den Wegweisungsvollzug in das als verfolgungssicher eingestufte Bosnien und Herzegowina vor. Blosse soziale und wirtschaftliche Schwierigkeiten, von denen weite Teile der ansässigen Bevölkerung betroffen sind, genügen nicht, um eine Gefährdung im Sinne von Art. 83 Abs. 4 AuG darzustellen. Der Beschwerdeführer ist in der Schweiz seit Ende Januar 2010 als (...) tätig und hat in verschiedenen handwerklichen Branchen Arbeitserfahrung; es ist davon auszugehen, dass er sich in Bosnien und Herzegowina eine Existenz wird aufbauen können. Da sich die weiteren Ausführungen des Beschwerdeführers auf die gesundheitliche Situation seiner Frau im Zeitpunkt der Beschwerdeeinreichung sowie auf seine - sich damals in seiner Obhut befindenden - Enkel beziehen und sich diese Vorbringen erübrigt haben, ist darauf nicht weiter einzugehen. Gemäss Erkenntnissen des Gerichts hatte der Beschwerdeführer seit dem Beschluss der Vormundschaftsbehörde B._______ vom 20. August 2007 keinerlei Obhuts- oder Sorgerechtspflichten mehr inne; dies macht er denn auch nicht geltend.</w:t>
      </w:r>
    </w:p>
    <w:p>
      <w:r>
        <w:rPr>
          <w:b/>
        </w:rPr>
        <w:t>E. 5.5</w:t>
      </w:r>
    </w:p>
    <w:p>
      <w:r>
        <w:t>Der Vollzug der Wegweisung erweist sich damit im heutigen Zeitpunkt sowohl in genereller als auch in individueller Hinsicht als zumutbar.</w:t>
      </w:r>
    </w:p>
    <w:p>
      <w:r>
        <w:rPr>
          <w:b/>
        </w:rPr>
        <w:t>E. 6</w:t>
      </w:r>
    </w:p>
    <w:p>
      <w:r>
        <w:t>Schliesslich obliegt es dem Beschwerdeführer aufgrund seiner Mitwirkungspflicht, sich bei der zuständigen Vertretung des Heimatstaates die für eine Rückkehr notwendigen Reisedokumente zu beschaffen (vgl. Art. 8 Abs. 4 AsylG), weshalb der Vollzug der Wegweisung auch als möglich zu bezeichnen ist (Art. 83 Abs. 2 AuG).</w:t>
      </w:r>
    </w:p>
    <w:p>
      <w:r>
        <w:rPr>
          <w:b/>
        </w:rPr>
        <w:t>E. 7</w:t>
      </w:r>
    </w:p>
    <w:p>
      <w:r>
        <w:t>Zusammenfassend ist festzustellen, dass das BFM die mit Verfügung vom 22. Juli 2004 angeordnete vorläufige Aufnahme des Beschwerdeführers zu Recht aufgehoben und den Wegweisungsvollzug verfügt hat.</w:t>
      </w:r>
    </w:p>
    <w:p>
      <w:r>
        <w:rPr>
          <w:b/>
        </w:rPr>
        <w:t>E. 8</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9</w:t>
      </w:r>
    </w:p>
    <w:p>
      <w:r>
        <w:t>Bei diesem Ausgang des Verfahrens sind die Kosten in der Höhe von Fr. 600.-- dem Beschwerdeführer aufzuerlegen (Art. 63 Abs. 1 VwVG sowie Art. 1-3 des Reglements vom 21. Februar 2008 über die Kosten und Entschädigungen vor dem Bundesverwaltungsgericht [VGKE, SR 173.320.2]). Diesem wurde mit Verfügung vom 16. Juli 2007 unter Vorbehalt der Veränderung der finanziellen Lage die unentgeltliche Prozessführung nach Art. 65 Abs. 1 VwVG gewährt. Nachdem jedoch aufgrund der Aktenlage von der Erwerbstätigkeit des Beschwerdeführers ausgegangen wird, und er eine aktuelle Bedürftigkeit nicht nachgewiesen hat, ist - wie mit Verfügung vom 19. April 2011 angekündigt - anzunehmen, dass diese nicht mehr besteht.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