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E-4719/2016 vom 27. September 2016</w:t>
      </w:r>
    </w:p>
    <w:p>
      <w:r>
        <w:t>Bundesverwaltungsgericht, 2016-09-27, DE</w:t>
      </w:r>
    </w:p>
    <w:p>
      <w:r>
        <w:rPr>
          <w:b/>
        </w:rPr>
        <w:t xml:space="preserve">Quelle: </w:t>
      </w:r>
      <w:r>
        <w:t>https://mcp.opencaselaw.ch/entscheid/bvger_E-4719_2016</w:t>
      </w:r>
    </w:p>
    <w:p>
      <w:r>
        <w:t>FR: TAF E-4719/2016 du 27 septembre 2016</w:t>
      </w:r>
    </w:p>
    <w:p>
      <w:r>
        <w:t>IT: TAF E-4719/2016 del 27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Vorliegend ist von der form- und fristgerechten Einreichung der Beschwerde auszugehen. So sind die Behörden bezüglich des Eröffnungsdatums grundsätzlich beweispflichtig. In den Akten des SEM findet sich indes kein Rückschein betreffend die Zustellung der Verfügung vom 30. Ju- ni 2016 an den Beschwerdeführer. Seinen Angaben in der Rechtsmitteleingabe zufolge, wurde die angefochtene Verfügung am 2. Juli 2016 eröffnet. Folglich ist die Rechtzeitigkeit der Beschwerde nicht auszuschliessen.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das Vorliegen von Vorfluchtgründen nachweisen oder zumindest glaubhaft machen. Vorfluchtgründe sind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machte der Beschwerdeführer in seiner Rechtsmitteleingabe zunächst geltend, die Sachverhaltsabklärung im vorinstanzlichen Verfahren sei unrichtig und unvollständig ausgefallen, weil das SEM seinem Sprachfehler nicht mit gebührenden Massnahmen begegnet sei. Diese Ansicht kann nicht geteilt werden. So sind die Angaben des Beschwerdeführers anhand der Befragungsprotokolle gut verständlich und ergeben ein lückenloses Bild seiner Geschichte. Hinweise dafür, dass er wesentliche Elemente des Sachverhaltes wegen seiner Sprachhemmung nicht vortragen konnte, lassen sich den entsprechenden Dokumenten nicht entnehmen. Sowohl im Rahmen der Befragung zur Person vom 28. August 2015 als auch im Rahmen der eingehenden Anhörung vom 28. Juni 2016 erhielt er abschliessend die Gelegenheit, bislang noch nicht erwähnte Gründe gegen eine Rückkehr in seinen Heimatstaat vorzubringen. In beiden Fällen trug er klar vor, es lägen keine weiteren solchen Gründe vor (vgl. A7/12, Rz. 7.03; A18/12 F96). Hätte er tatsächlich etwas anzufügen gehabt, dies aber aufgrund seiner Sprachprobleme nicht richtig formulieren können, wäre zu erwarten gewesen, dass zumindest Bruchstücke dieses Vorbringens vermerkt gewesen wären. Bezüglich der Abklärung seiner Staatsangehörigkeit, gelangt das Gericht zum Schluss, dass er im vorinstanzlichen Verfahren - nicht nur bezüglich seines Geburtsstaates, sondern auch bezüglich seiner Staatsangehörigkeit - konstant und eindeutig angegeben hat, er sei senegalesischer Staatsbürger, so dass das SEM nicht an diesem Vorbringen zweifeln musste (vgl. A1/1; A4/23; A7/12, Rz. 1.09 und 1.11). Wäre er sich seiner Staatsangehörigkeit nicht sicher gewesen, wäre zu erwarten gewesen, dass er dies geltend gemacht hätte. Daran hätte ihn wohl auch sein Sprachfehler nicht gehindert, da er die auf Beschwerdeebene behauptete Unsicherheit bezüglich seiner Staatsbürgerschaft ganz einfach mit "Senegalese oder Gambier" oder mit "ich weiss es nicht" hätte zum Ausdruck bringen können. Nach dem Gesagten ist der Antrag, die angefochtene Verfügung sei aufzuheben und zur ergänzenden Sachverhaltsfeststellung und zum neuen Entscheid ans SEM zurückzuweisen, abzuweisen.</w:t>
      </w:r>
    </w:p>
    <w:p>
      <w:r>
        <w:rPr>
          <w:b/>
        </w:rPr>
        <w:t>E. 5.2</w:t>
      </w:r>
    </w:p>
    <w:p>
      <w:r>
        <w:t>Mit Blick auf die vom Beschwerdeführer geltend gemachten Ereignisse in Senegal - er sei im Internat (...) in B._______ misshandelt und nach dem Tod seiner Mutter von seinen Grosseltern nach Gambia verbracht worden - teilt das Gericht die Einschätzung des SEM, wonach es sich hierbei nicht um asylrelevante Vorbringen handelt. So sind keine Hinweise dafür ersichtlich, dass den bedauerlichen Misshandlungen im Internat und dem Verbringen des Beschwerdeführers nach Gambia asylrechtlich relevante Motive im Sinne von Art. 3 AsylG zugrunde gelegen haben. Bezüglich der vom Beschwerdeführer geltend gemachten Ereignisse in Gambia gelangt das Gericht ferner zum Schluss, dass das SEM zu Recht argumentierte, der Beschwerdeführer sei senegalesischer Staatsangehöriger, weshalb Vorfälle, die sich ausserhalb von Senegal ereignet hätten mit Blick auf Art. 1 Bst. a Ziff. 2 FK von vorneherein nicht asylrelevant sein könnten. So überzeugt es nicht, dass der Beschwerdeführer - wie in der Rechtsmitteleingabe nachträglich gelten gemacht - seine Staatsangehörigkeit nicht kennt und auch Gambier oder gar staatenlos sein könnte, gab er - wie bereits in E. 5.1 erwähnt - im vorinstanzlichen Verfahren doch gegenüber verschiedenen Behörden konstant und eindeutig zu Protokoll, die senegalesische Staatsbürgerschaft zu besitzen (vgl. A1/1; A4/23; A7/12, Rz. 1.09 und 1.11). Darauf, dass er auch Gambier sein könnte oder seine Staatsangehörigkeit nicht genau kenne, wies er demgegenüber im vorinstanzlichen Verfahren mit keinem Wort hin. Im Übrigen erscheint es - vor dem Hintergrund der Angaben des Beschwerdeführers, auf dem Landweg durch verschiedene Länder Afrikas nach Europa geflohen zu sein - wenig plausibel, dass er nie irgendwelche Identitätspiere gehabt habe. Selbst wenn der Beschwerdeführer aber einzig die gambische Staatsangehörigkeit hätte - was, wie zuvor gesagt, weder glaubhaft gemacht noch belegt ist -, sind die von ihm vorgebrachte Ausnutzung als Arbeitskraft durch seine Grosseltern und die Inhaftierung im Zusammenhang mit dem Einbruch bei seinem ehemaligen Arbeitgeber nicht asylrelevant. So ist nicht ersichtlich, welche Motive im Sinne von Art. 3 AsylG diesen Handlungen zugrunde liegen könnten. Die Zugehörigkeit zur sozialen Gruppe der Jugendlichen stellt kein einschlägiges asylrelevantes Motiv dar, werden doch nicht nur Jugendliche - und wenn junge Menschen, dann nicht nur wegen ihrer Jugendlichkeit - als Arbeitskräfte ausgenutzt. Die erst auf Beschwerdeebene geltend gemachte Verfolgung aus religiösen Motiven wirkt ferner nachgeschoben und somit unglaubhaft. Wäre der Beschwerdeführer tatsächlich wegen seiner Zuneigung zum christlichen Glauben verfolgt worden, hätte er dies - wie in E. 5.1 bereits ausgeführt - im vorinstanzlichen Verfahren wohl auch trotz seiner Sprachprobleme zumindest ansatzweise vorgetragen. Stattdessen weisen seine Angaben nicht einmal indirekt darauf hin, dass er sich dem Christentum näher fühlt, als dem Islam, ist auf dem Personalienblatt doch vermerkt, dass er Moslem sei (vgl. A1/1). Auch gab er anlässlich der Befragung zur Person eindeutig zu Protokoll, seine Religion sei der Islam (vgl. A7/12, Rz. 1.13). Ferner erstaunt es, dass sich der Beschwerdeführer der Religion, die ihm von denjenigen beigebracht wurde, die ihn geschlagen haben, stärker zugehörig fühlt, als der in der Gesellschaft und Familie dominanten Religion.</w:t>
      </w:r>
    </w:p>
    <w:p>
      <w:r>
        <w:rPr>
          <w:b/>
        </w:rPr>
        <w:t>E. 5.3</w:t>
      </w:r>
    </w:p>
    <w:p>
      <w:r>
        <w:t>Nach dem Gesagten kommt das Bundesverwaltungsgericht mit dem SEM zum Schluss, dass es dem Beschwerdeführer nicht gelungen ist, eine asylrelevante Verfolgung im Sinne von Art. 3 und 7 AsylG glaubhaft zu machen.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SEM das Anwesenheitsverhältnis nach den gesetzlichen Bestimmungen über die vorläufige Aufnahme von Ausländern (Art. 44 AsylG; Art. 83 Abs. 1 AuG). Bei der Geltendmachung von Wegweisungshindernissen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7.2</w:t>
      </w:r>
    </w:p>
    <w:p>
      <w:r>
        <w:t>Wie in E. 5 wiederholt ausgeführt, ist das Gericht der Überzeugung, dass der Beschwerdeführer senegalesischer Staatsangehöriger ist, weshalb die Zulässigkeit, Zumutbarkeit und Möglichkeit des Wegweisungs-vollzugs in seinem Fall mit Bezug zum Senegal zu prüfen ist.</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Das SEM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Senegal ist demnach unter dem Aspekt von Art. 5 AsylG rechtmässig. Sodann ergeben sich aus den Akten keine Anhaltspunkte dafür, dass der Beschwerdeführer für den Fall einer Ausschaffung nach Senegal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nach dem oben Gesagten nicht gelungen. Der Vollzug der Wegweisung erweist sich sowohl im Sinne der asyl- als auch der völkerrechtlichen Bestimmungen als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Wie vom SEM in der angefochtenen Verfügung zutreffend ausgeführt, sind aus den Akten keine Gründe ersichtlich, die gegen die Zumutbarkeit des Wegweisungsvollzugs sprechen könnten. So sind die vom Beschwerdeführer geltend gemachten gesundheitlichen Probleme ([...]) nicht derart gravierend, dass er bei einer Rückkehr nach Senegal deswegen in eine existenzbedrohende Situation geraten würde. Auch ist angesichts der langjährigen Berufserfahrung des Beschwerdeführers davon auszugehen, dass er in seinem Heimatland trotz seines Sprachfehlers eine Arbeitsstelle finden und für seinen Lebensunterhalt aufkommen kann. Somit sprechen weder die allgemeine Lage in Sengal noch individuelle Gründe gegen den Vollzug der Wegweisung.</w:t>
      </w:r>
    </w:p>
    <w:p>
      <w:r>
        <w:rPr>
          <w:b/>
        </w:rPr>
        <w:t>E. 7.4.3</w:t>
      </w:r>
    </w:p>
    <w:p>
      <w:r>
        <w:t>Mithin erweist sich der Vollzug der Wegweisung als zumutbar.</w:t>
      </w:r>
    </w:p>
    <w:p>
      <w:r>
        <w:rPr>
          <w:b/>
        </w:rPr>
        <w:t>E. 7.5</w:t>
      </w:r>
    </w:p>
    <w:p>
      <w:r>
        <w:t>Schliesslich obliegt es dem Beschwerdeführer, bei der zuständigen Vertretung seines Heimatstaates die für eine Rückkehr notwendigen Reisedokumente zu beschaffen (Art. 8 Abs. 4 AsylG; vgl.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sowie - soweit überprüfbar - angemessen ist (Art. 49 VwVG). Die Beschwerde ist somit abzuweisen.</w:t>
      </w:r>
    </w:p>
    <w:p>
      <w:r>
        <w:rPr>
          <w:b/>
        </w:rPr>
        <w:t>E. 9</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durch den in gleicher Höhe geleisteten Kostenvorschuss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