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E-4709/2021 vom 1. November 2021</w:t>
      </w:r>
    </w:p>
    <w:p>
      <w:r>
        <w:t>Bundesverwaltungsgericht, 2021-11-01, DE</w:t>
      </w:r>
    </w:p>
    <w:p>
      <w:r>
        <w:rPr>
          <w:b/>
        </w:rPr>
        <w:t xml:space="preserve">Quelle: </w:t>
      </w:r>
      <w:r>
        <w:t>https://mcp.opencaselaw.ch/entscheid/bvger_E-4709_2021</w:t>
      </w:r>
    </w:p>
    <w:p>
      <w:r>
        <w:t>FR: TAF E-4709/2021 du 1 novembre 2021</w:t>
      </w:r>
    </w:p>
    <w:p>
      <w:r>
        <w:t>IT: TAF E-4709/2021 del 1 novembre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8 - 15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23 - 25 Dublin-III-VO) findet grundsätzlich keine (neue) Zuständigkeitsprüfung nach Kapitel III Dublin-III-VO mehr statt (vgl. zum Ganzen: BVGE 2017 VI/5 E. 6.2 und 8.2.1).</w:t>
      </w:r>
    </w:p>
    <w:p>
      <w:r>
        <w:rPr>
          <w:b/>
        </w:rPr>
        <w:t>E. 4</w:t>
      </w:r>
    </w:p>
    <w:p>
      <w:r>
        <w:t>Die Zuständigkeit Österreichs zur Durchführung des Asyl- und Wegwei-sungsverfahrens ist gestützt auf Art. 18 Abs. 1 Bst. d Dublin-III-VO grundsätzlich gegeben und wird vom Beschwerdeführer auch nicht bestritten.</w:t>
      </w:r>
    </w:p>
    <w:p>
      <w:r>
        <w:rPr>
          <w:b/>
        </w:rPr>
        <w:t>E. 5.1</w:t>
      </w:r>
    </w:p>
    <w:p>
      <w:r>
        <w:t>Nach ständiger Rechtsprechung des Bundesverwaltungsgerichts weist das Asylverfahren in Österreich keine systemischen Schwachstellen im Sinn von Art. 3 Abs. 2 Dublin-III-VO auf (vgl. dazu anstelle vieler Urteile des BVGer F-1346/2021 vom 1. April 2021 E. 5.1 und F-4030/2020 vom 18. August 2020 E. 4.3 und E. 4.4 m.H.).</w:t>
      </w:r>
    </w:p>
    <w:p>
      <w:r>
        <w:rPr>
          <w:b/>
        </w:rPr>
        <w:t>E. 5.2</w:t>
      </w:r>
    </w:p>
    <w:p>
      <w:r>
        <w:t>Diese Einschätzung vermag der Beschwerdeführer mit seiner pauschalen Kritik, wonach Asylsuchenden in Österreich der Zugang zu einer unabhängigen Rechtsvertretung erschwert werde und dort vulnerable Personen inhaftiert würden, nicht in Frage zu stellen. Es bestehen keine Hinweise dafür, dass das Asylverfahren des Beschwerdeführers in Österreich nicht rechtstaatlich korrekt und fair durchgeführt worden ist. Art. 3 Abs. 2 Dublin-III-VO kommt daher nicht zur Anwendung.</w:t>
      </w:r>
    </w:p>
    <w:p>
      <w:r>
        <w:rPr>
          <w:b/>
        </w:rPr>
        <w:t>E. 6.1</w:t>
      </w:r>
    </w:p>
    <w:p>
      <w:r>
        <w:t>Es bleibt zu prüfen, ob die Vorinstanz trotz der grundsätzlichen Zuständigkeit Österreichs das Selbsteintrittsrecht nach Art. 17 Abs. 1 erster Satz Dublin-III-VO, konkretisiert in Art. 29a Abs. 3 AsylV 1, hätte ausüben müs-sen.</w:t>
      </w:r>
    </w:p>
    <w:p>
      <w:r>
        <w:rPr>
          <w:b/>
        </w:rPr>
        <w:t>E. 6.2</w:t>
      </w:r>
    </w:p>
    <w:p>
      <w:r>
        <w:t>Österreich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und kommt seinen diesbezüglichen völkerrechtlichen Verpflichtungen nach.</w:t>
      </w:r>
    </w:p>
    <w:p>
      <w:r>
        <w:rPr>
          <w:b/>
        </w:rPr>
        <w:t>E. 6.3</w:t>
      </w:r>
    </w:p>
    <w:p>
      <w:r>
        <w:t>Auch ist anzunehmen,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6.4</w:t>
      </w:r>
    </w:p>
    <w:p>
      <w:r>
        <w:t>Zwar kann die Vermutung, Österreich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6.5</w:t>
      </w:r>
    </w:p>
    <w:p>
      <w:r>
        <w:t>Der Beschwerdeführer macht geltend, er leide an mehreren Krankheiten, habe starke Schmerzen und sei (...). Er sei auf eine langfristige medizinische Behandlung in einem stabilen Umfeld angewiesen.</w:t>
      </w:r>
    </w:p>
    <w:p>
      <w:r>
        <w:rPr>
          <w:b/>
        </w:rPr>
        <w:t>E. 6.5.1</w:t>
      </w:r>
    </w:p>
    <w:p>
      <w:r>
        <w:t>Rechtsprechungsgemäss stellt die zwangsweise Rückführung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6.5.2</w:t>
      </w:r>
    </w:p>
    <w:p>
      <w:r>
        <w:t>Gemäss dem Bericht des (...) vom 8. Oktober 2021 leidet der Beschwerdeführer an (...). Ihm wurde das Medikament (...) verschrieben. Zum weiteren Prozedere wurde festgehalten, dass sich bezüglich der (...) beziehungsweise (...) eine (...) im Intervall empfehle. Bei einmaligen (...) Beschwerden habe sich bei derzeit klinisch beschwerdefreiem Zustand kein Hinweis auf eine (...) ergeben. Bei erneutem Auftreten empfehle sich eine (...) Abklärung. Ferner wurden eine zeitnahe Kontrolle und weiterführende Abklärungen durch den Hausarzt empfohlen. Im Bericht des (...) vom 22. Oktober 2021 wurden eine (...) sowie (...) diagnostiziert. Dem Beschwerdeführer wurden die Medikamente (...), (...) und (...) verschrieben.</w:t>
      </w:r>
    </w:p>
    <w:p>
      <w:r>
        <w:rPr>
          <w:b/>
        </w:rPr>
        <w:t>E. 6.5.3</w:t>
      </w:r>
    </w:p>
    <w:p>
      <w:r>
        <w:t>Die geltend gemachten gesundheitlichen Probleme des Beschwerdeführers sind nicht von einer derartigen Schwere, dass aus humanitären Gründen von einer Überstellung abgesehen werden müsste. Im Übrigen verfügt Österreich über eine ausreichende medizinische Infrastruktur, weshalb sich der Beschwerdeführer im Bedarfsfall an das dafür zuständige medizinische Fachpersonal wenden kann. Die Mitgliedstaaten sind verpflichtet, den Antragstellern die erforderliche medizinische Versorgung, die zumindest die Notversorgung und die unbedingt erforderliche Behandlung von Krankheiten und schweren psychischen Störungen umfasst, zugänglich zu machen (Art. 19 Abs. 1 der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österreichischen Behörden vorgängig in geeigneter Weise über die spezifischen medizinischen Umstände informieren (vgl. Art. 31 f. Dublin-III-VO).</w:t>
      </w:r>
    </w:p>
    <w:p>
      <w:r>
        <w:rPr>
          <w:b/>
        </w:rPr>
        <w:t>E. 6.6</w:t>
      </w:r>
    </w:p>
    <w:p>
      <w:r>
        <w:t>Andere Gründe, die der Schweiz Anlass geben könnten, von ihrem Selbsteintrittsrecht nach Art. 17 Abs. 1 Satz 1 Dublin-III-VO Gebrauch zu machen, werden weder geltend gemacht noch sind solche ersichtlich. Dabei gilt auch zu beachten, dass die Dublin-III-VO den Schutzsuchenden kein Recht einräumt, den ihren Antrag prüfenden Staat selber auszuwählen (vgl. auch BVGE 2010/45 E. 8.3).</w:t>
      </w:r>
    </w:p>
    <w:p>
      <w:r>
        <w:rPr>
          <w:b/>
        </w:rPr>
        <w:t>E. 7</w:t>
      </w:r>
    </w:p>
    <w:p>
      <w:r>
        <w:t>Die Vorinstanz ist demnach zu Recht auf das Asylgesuch des Beschwerde-führers nicht eingetreten. Da der Beschwerdeführer nicht im Besitz einer gültigen Aufenthalts- oder Niederlassungsbewilligung ist, wurde die Überstellung nach Österreich in Anwendung von Art. 44 AsylG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Die Beschwerde ist aus den dargelegten Gründen abzuweisen und die Verfügung der Vorinstanz ist zu bestätigen. Für eine Rückweisung der Sache an die Vorinstanz besteht kein Anlass, zumal der Beschwerdeführer nicht ansatzweise substantiiert, inwiefern die Vorinstanz das rechtliche Gehör verletzt haben sollte.</w:t>
      </w:r>
    </w:p>
    <w:p>
      <w:r>
        <w:rPr>
          <w:b/>
        </w:rPr>
        <w:t>E. 9.1</w:t>
      </w:r>
    </w:p>
    <w:p>
      <w:r>
        <w:t>Das Gesuch um Gewährung der unentgeltlichen Prozessführung ist abzuweisen, da die Begehren - wie sich aus den vorstehenden Erwägungen ergibt - als aussichtslos zu bezeichnen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Mit dem vorliegenden Urteil fällt der am 28. Oktober 2021 angeordnete Vollzugsstopp dahin. Die Gesuche um Erteilung der aufschiebenden Wirkung und Verzicht auf die Erhebung eines Kostenvorschusses sind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