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E-4707/2020 vom 28. August 2020</w:t>
      </w:r>
    </w:p>
    <w:p>
      <w:r>
        <w:t>Bundesverwaltungsgericht, 2020-08-28, DE</w:t>
      </w:r>
    </w:p>
    <w:p>
      <w:r>
        <w:rPr>
          <w:b/>
        </w:rPr>
        <w:t xml:space="preserve">Quelle: </w:t>
      </w:r>
      <w:r>
        <w:t>https://mcp.opencaselaw.ch/entscheid/bvger_E-4707_2020_d20200828</w:t>
      </w:r>
    </w:p>
    <w:p>
      <w:r>
        <w:t>FR: TAF E-4707/2020 du 28 août 2020</w:t>
      </w:r>
    </w:p>
    <w:p>
      <w:r>
        <w:t>IT: TAF E-4707/2020 del 28 agosto 2020</w:t>
      </w:r>
    </w:p>
    <w:p>
      <w:pPr>
        <w:pStyle w:val="Heading2"/>
      </w:pPr>
      <w:r>
        <w:t>Regeste</w:t>
      </w:r>
    </w:p>
    <w:p>
      <w:r>
        <w:t>Asyl und Wegweisung | Asyl und Wegweisung; Verfügung des SEM vom 28. August 2020</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E-4707/2020 Seite 8 richten sich im Asylbereich nach Art. 106 Abs. 1 AsylG (vgl. BVGE 2014/26 E. 5).</w:t>
      </w:r>
    </w:p>
    <w:p>
      <w:r>
        <w:rPr>
          <w:b/>
        </w:rPr>
        <w:t>E. 3.1</w:t>
      </w:r>
    </w:p>
    <w:p>
      <w:r>
        <w:t>Die Änderung der Personalien und der Staatsangehörigkeit im ZEMIS sowie die Einziehung der Identitätskarte wurden vom Beschwerdeführer nicht angefochten, womit die entsprechenden Dispositivziffern 1 bis 3 der angefochtenen Verfügung vom 28. August 2020 in Rechtskraft erwachsen sind. Nachfolgend ist daher auf die vorinstanzliche Begründung betreffend Änderung der Personalien im ZEMIS nicht einzugehen.</w:t>
      </w:r>
    </w:p>
    <w:p>
      <w:r>
        <w:rPr>
          <w:b/>
        </w:rPr>
        <w:t>E. 3.2</w:t>
      </w:r>
    </w:p>
    <w:p>
      <w:r>
        <w:t>Mit Verfügung vom 13. Oktober 2022 zog die Vorinstanz im Rahmen des Schriftenwechsels die angefochtene Verfügung teilweise in Wiederer- wägung. Sie hob dabei die Dispositivziffern 7, 8 und 9 der angefochtenen Verfügung vom 28. August 2020 auf, stellte die Unzumutbarkeit des Voll- zugs der Wegweisung fest und ordnete die vorläufige Aufnahme des Be- schwerdeführers in der Schweiz an. Die Beschwerde ist damit hinsichtlich des Eventualantrags um Gewährung der vorläufigen Aufnahme unter Fest- stellung der Unzulässigkeit respektive Unzumutbarkeit des Wegweisungs- vollzugs gegenstandslos geworden (zumal die in Art. 83 Abs. 2-4 AIG er- wähnten drei Bedingungen für einen Verzicht auf den Vollzug der Wegwei- sung alternativer Natur sind, vgl. BVGE 2009/51 E. 5.4, 2013/1 E. 6.2). Als Prüfgegenstand verbleibt daher einzig die Frage nach der Flüchtlings- eigenschaft des Beschwerdeführers und einer allenfalls daraus fliessenden Asylgewährung.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E-4707/2020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Die Vorinstanz gelangte in der angefochtenen Verfügung zum Schluss, die Vorbringen des Beschwerdeführers hielten weder den Anforderungen von Art. 3 AsylG an die Flüchtlingseigenschaft noch denjenigen von Art. 7 AsylG an das Glaubhaftmachen stand.</w:t>
      </w:r>
    </w:p>
    <w:p>
      <w:r>
        <w:rPr>
          <w:b/>
        </w:rPr>
        <w:t>E. 5.1</w:t>
      </w:r>
    </w:p>
    <w:p>
      <w:r>
        <w:t>Zum einen führe Homosexualität in Jordanien nicht per se zu flücht- lingsrechtlich relevanter Verfolgung im Sinne von Art. 3 AsylG. Nach dem jordanischen Strafgesetzbuch seien Homosexualität und homosexuelle Handlungen nicht illegal – anders nach dem islamischen Scharia-Gesetz. Es gebe nach jordanischem System jedoch weder eine Geldstrafe noch andere Strafen für «Verbrechen» nach dem Scharia-Gesetz, sofern diese im jordanischen Strafgesetzbuch nicht gesondert geregelt seien. Das sozi- ale Umfeld für Homosexuelle sei in Jordanien toleranter als in vielen ande- ren Teilen des Nahen Ostens. Die Gesellschaft sei dennoch konservativ geprägt, weshalb es schwierig sei, offen homosexuell zu sein. Es fehle die gesellschaftliche Toleranz und eine Stigmatisierung gegenüber Homose- xuellen könne in Einzelfällen zu flüchtlingsrelevanter Verfolgung führen. Es sei hervorzuheben, dass es in Jordanien eine aktive «Homosexuellen- Community» gebe, welche in der Kunstszene aktiv sei. So gebe es seit 2004 ein Kollektiv namens «Rainbow Street», welches Unterstützung biete. Im Einzelfall sei daher zu prüfen, ob konkrete Hinweise vorliegen, aufgrund derer von einer begründeten Furch vor asylrelevanten Nachteilen auszugehen sei. Diese Prüfung werde nachfolgend unter dem Aspekt der Glaubhaftigkeit im Sinne von Art. 7 AsylG abgehandelt.</w:t>
      </w:r>
    </w:p>
    <w:p>
      <w:r>
        <w:rPr>
          <w:b/>
        </w:rPr>
        <w:t>E. 5.2</w:t>
      </w:r>
    </w:p>
    <w:p>
      <w:r>
        <w:t>Es sei dem Beschwerdeführer nicht gelungen, eine asylrelevante Ver- folgung in Jordanien aufgrund seiner Homosexualität glaubhaft zu machen. Die von ihm geschilderten diesbezüglichen Probleme seien oberflächlich, nicht erlebnisgeprägt und wenig plausibel ausgefallen. Seinen Schilderun- gen betreffend den Vorfall im Militärdienst, welcher zu seiner Inhaftierung und schliesslich zur Suspendierung geführt habe, fehle es an Substanz und persönlichen Elementen, welche auf Selbsterlebtes hinweisen würden. Dies, zumal es sich dabei um das Initialereignis für viele seiner vorgebrach-</w:t>
      </w:r>
    </w:p>
    <w:p>
      <w:r>
        <w:t>E-4707/2020 Seite 10 ten Folgeprobleme gehandelt habe. Die Aufdeckung über eine Überwa- chungskamera, welche ihn beim Schauen von homosexuell-pornographi- schem Videos beobachtet habe, sei stereotyp. Seine Aussagen betreffend die anschliessende (…) Haft liessen keinen anderen Schluss zu, zumal diese ebenfalls oberflächlich, wenig persönlich und ausweichend ausgefal- len seien. Die Schilderungen zur Freistellung vom Militärdienst seien so- dann inkonsistent. Einerseits habe er als Grund für die Inhaftierung neben vorgenanntem Ereignis angegeben, er habe den Dienst nicht machen wol- len und einen Diensturlaub um (…) Tage unerlaubt verlängert. Andererseits habe er an der zweiten Anhörung angegeben, gegen seinen Willen vom Militärdienst suspendiert worden zu sein. Auch die von ihm eingereichte jordanische Reservistenkarte vermöge seine Geschichte nicht zu belegen, zumal ihr keine Gründe für seine Freistellung vom Dienst zu entnehmen seien. Sie weise lediglich darauf hin, dass er am (…) 2011 vom Dienst be- freit, demobilisiert und der Reserve zugeteilt worden sei. Er habe auch nicht nachvollziehbar über die Zeit zwischen seiner Freistellung vom Mili- tärdienst im (…) 2011 und seiner ersten Reise nach Polen im (…) 2014 Auskunft geben können. Sämtliche Angaben seien vage, wenig überzeu- gend, knapp, ausweichend und teilweise widersprüchlich ausgefallen. Es sei nicht nachvollziehbar, dass er nach seiner Freistellung vom Militärdienst ein volles Jahr lang weiter zuhause gelebt und anscheinend während die- ser Zeit seiner Familie vorgetäuscht habe, weiterhin Militärdienst zu leisten, in Wahrheit aber auf der Strasse (…) verkauft habe. An anderer Stelle habe er erwähnt, während dieser Zeit auf der Strasse geschlafen zu haben. Wenn er tatsächlich während dieser Zeit wie beschrieben «die Hölle» erlebt hätte, wären substanziiertere und konsistentere Angaben zu erwarten ge- wesen. Es erscheine daher unglaubhaft, dass seine Familie in diesem Zu- sammenhang von seiner Homosexualität erfahren, ihn deswegen aus dem Haus geworfen und seine persönlichen Sachen verbrannt habe. Auch seine Angaben über die Frage, wie sein Stamm ihm gegenüber die Ableh- nung signalisiert habe, sei ausweichend und oberflächlich geblieben. Es erstaune daher nicht, dass er auch die geltend gemachten Folgeprob- leme nicht überzeugend habe darlegen können. Seine Schilderungen be- treffend den Vorfall, als er und sein Freund von dessen Vater in flagranti beim Geschlechtsverkehr erwischt worden seien, enthielten weder persön- liche Elemente noch seien sie nachvollziehbar. Angesichts der beschriebe- nen folgenschweren Konsequenzen wären hierzu ausführlichere und per- sönlichere Aussagen zu erwarten gewesen. Zudem habe er sich auch hier in Widersprüche verstrickt: So habe er zunächst erwähnt, dass der Vater des Freundes gesagt habe, eine Beschwerde gegen ihn zu erheben. Nur</w:t>
      </w:r>
    </w:p>
    <w:p>
      <w:r>
        <w:t>E-4707/2020 Seite 11 wenig später habe er jedoch geantwortet, der Vater habe gesagt, er werde keine Beschwerde erheben. Eine Verfolgung durch den Vater seines an- geblichen Geliebten sei daher als unglaubhaft einzustufen. Ferner habe er nicht schlüssig erklären können, weshalb er das zweite Mal in Europa ge- blieben, beim ersten Mal jedoch trotz angeblicher Furcht vor Verfolgung nach Jordanien zurückgekehrt sei. Schliesslich müsse aufgrund der zweimaligen Ausstellung eines Schen- gen-Visums durch die polnischen Behörden seine geltend gemachte aus- sichtslose und desolate Situation in Jordanien erheblich in Zweifel gezogen werden. Es sei praktisch ausgeschlossen, dass ihm angesichts seiner be- schriebenen Lebenslage – im Jahr 2014 als Strassenverkäufer ohne Bleibe und im Jahr 2017 als Obdachloser – und angesichts der strengen Anforde- rungen für die Beantragung eines Schengen-Visums zwei Mal ein solches ausgestellt worden sei. Es müsse davon ausgegangen werden, dass er einer geregelten Arbeit nachgegangen sei. Angesichts dessen sei seine Aussage, wonach er nach seiner ersten Reise nach Polen direkt auf der Strasse gelandet sei, nicht nachvollziehbar.</w:t>
      </w:r>
    </w:p>
    <w:p>
      <w:r>
        <w:rPr>
          <w:b/>
        </w:rPr>
        <w:t>E. 5.3</w:t>
      </w:r>
    </w:p>
    <w:p>
      <w:r>
        <w:t>Damit seien auch seine Probleme mit der Polizei – welche ihn während seiner Zeit auf der Strasse verhaftet und misshandelt hätten – nicht glaub- haft. Darüber hinaus seien seine grösstenteils oberflächlichen und wenig persönlichen Schilderungen betreffend die Festnahme und die Haftanstalt nicht dergestalt ausgefallen, als dass sie die Zweifel an der Glaubhaftigkeit zerstreuen könnten. Dem eingereichten Gerichtsdokument komme für sich alleine kein Beweiswert zu, da es keine Sicherheitsmerkmale aufweise, leicht fälschbar und zudem wohl käuflich erwerbbar sei.</w:t>
      </w:r>
    </w:p>
    <w:p>
      <w:r>
        <w:rPr>
          <w:b/>
        </w:rPr>
        <w:t>E. 5.4</w:t>
      </w:r>
    </w:p>
    <w:p>
      <w:r>
        <w:t>Schliesslich wies das SEM auf die krasse Verletzung der Wahrheits- pflicht durch die Identitätstäuschung des Beschwerdeführers hin. Der Hin- weis, bei der Ankunft in der Schweiz nicht gewusst zu haben, wer er sei, vermöge nicht zu überzeugen. Dies stelle seine persönliche Glaubwürdig- keit erheblich in Frage.</w:t>
      </w:r>
    </w:p>
    <w:p>
      <w:r>
        <w:rPr>
          <w:b/>
        </w:rPr>
        <w:t>E. 6.1</w:t>
      </w:r>
    </w:p>
    <w:p>
      <w:r>
        <w:t>Zur Begründung seiner Beschwerde verwies der Beschwerdeführer zu- nächst auf seinen instabilen psychischen Zustand und seine Traumatisie- rung. Er habe einen Teil seiner Erinnerung verloren und Schwierigkeiten, sich an Details und den chronologischen Ablauf der Ereignisse zu erinnern, was die Arztberichte bestätigten. Die Glaubhaftigkeit seiner Vorbringen werde dadurch vielmehr gestützt. Eine oberflächliche Schilderung ohne</w:t>
      </w:r>
    </w:p>
    <w:p>
      <w:r>
        <w:t>E-4707/2020 Seite 12 persönliche Anekdoten sei für ihn eine Art Schutzmechanismus, um sein Trauma nicht erneut durchleben zu müssen. Weiter sei seine Suspendierung unter den beschriebenen dramatischen und traumatisierenden Umständen «unfreiwillig» erfolgt, obschon er ge- genüber dem Militärdienst nicht positiv eingestellt gewesen sei. Sein Mili- tärdienst habe die Familie mit Stolz erfüllt und er habe diesen bestimmt nicht in der beschriebenen Art und Weise unehrenhaft verlassen und dies seiner Familie mitteilen wollen. Eine Inkohärenz seiner Schilderungen be- stehe nicht. Seine Aussagen, wie seine Familie von seiner Demobilisierung und schliesslich – durch die Verbindungen des Vaters zur Armee – auch von seiner Homosexualität erfahren habe, seien glaubhaft. Es sei sodann nicht stereotyp, dass er von einer Überwachungskamera auf seinem Pos- ten gefilmt worden sei. Es sei bekannt, dass gewisse Arbeitgeber ihre Ar- beitnehmer in dieser Weise überwachen – insbesondere eine Armee, wel- cher das Verhalten der Soldaten wichtig sei. Vor dem Hintergrund, dass die Homosexualität in der jordanischen Gesell- schaft kaum akzeptiert sei, sei insbesondere glaubhaft, dass der Vater sei- nes ehemaligen Geliebten ihn bedroht und verfolgt habe. Im Weiteren seien seine Ausführungen zur Demobilisierung, der Entdeckung seiner Ho- mosexualität durch seine Familie, seine prekäre Lebenssituation in Amman und die Drohungen durch den Vater seines Partners allesamt glaubhaft. Hinsichtlich der Erlangung polnischer Visa führte der Beschwerdeführer aus, das SEM könne nicht beweisen, dass es ihm trotz fehlender Arbeits- stelle nicht möglich gewesen wäre, ein Visum zu erhalten. Er sei trotz der schwierigen Lebensumstände nicht auf die schiefe Bahn geraten und habe versucht, sein Land auf legalem Weg zu verlassen. Es sei auch glaubhaft, dass er von den jordanischen Sicherheitskräften ge- foltert worden sei. Es sei bekannt und dokumentiert, dass die jordanischen Sicherheitskräfte von der Folter Gebrauch machten, um Gefangene zum Reden zu bringen. Der Umstand, dass er sich aufgrund seiner Traumati- sierung nicht an Details erinnern könne, spreche entgegen der Ansicht des SEM für die Glaubhaftigkeit seiner Vorbringen – er habe nicht ohne Grund Erinnerungslücken. Der Vorwurf der Fälschung des Gerichtsdokuments sei unbegründet. Es sei glaubhaft, dass er während (…) Monaten inhaftiert gewesen und sein</w:t>
      </w:r>
    </w:p>
    <w:p>
      <w:r>
        <w:t>E-4707/2020 Seite 13 Fall dann von einem Richter behandelt worden sei, welcher seine Freilas- sung angeordnet habe. Das Beweismittel sei deshalb zu berücksichtigen. Betreffend die Identitätstäuschung sei zu berücksichtigen, dass er bei sei- ner Ankunft in der Schweiz in einem miserablen psychischen Zustand ge- wesen sei und mehrere Male habe hospitalisiert werden müssen. Das Bun- desverwaltungsgericht habe in seinem Urteil E-3918/2017 vom 20. Juli 2017 aufgrund seines Zustands selbst Zweifel an einer Überstellung nach Polen geäussert. Er könne sich auch nicht mehr an seine Aussagen an- lässlich der BzP erinnern. Es stehe fest, dass seine Urteilsfähigkeit im da- maligen Zeitpunkt zweifelhaft gewesen sei.</w:t>
      </w:r>
    </w:p>
    <w:p>
      <w:r>
        <w:rPr>
          <w:b/>
        </w:rPr>
        <w:t>E. 6.2</w:t>
      </w:r>
    </w:p>
    <w:p>
      <w:r>
        <w:t>Homosexualität werde von der jordanischen Gesellschaft noch immer missbilligt. Es sei für homosexuelle Personen extrem schwierig, sich in der Öffentlichkeit oder gegenüber ihren Familien zu «outen» und dies trotz Straflosigkeit vor jordanischem Recht im Alltag frei auszuleben. Der Um- stand, dass es eine versteckte, aktive «LGBTQ+-Community» – im Kunst- milieu – gebe, heisse nicht, dass die jordanische Gesellschaft als solche ihre Existenz akzeptiere. Das SEM bedenke nicht, dass die Gesellschaft als solche – insbesondere die Familien der betroffenen Personen – die Scharia ohne Zutun der Behörden anwenden könnten. Es existierten zahl- reiche Berichte zu homophoben Verbrechen respektive Ehrverbrechen und ungerechtfertigter Verhaftungen aufgrund einer vermuteten Homosexuali- tät. Opfer von Bedrohungen aufgrund ihrer sexuellen Orientierung könnten keine Hilfe von den Behörden erwarten. Der Beschwerdeführer sei von sei- ner Familie sowie dem Vater seines Geliebten bedroht worden. Man habe aktiv im ganzen Land nach ihm gesucht. Bei einer Rückkehr könnten die Drohungen wahrgemacht werden. Dabei könnte er sich nicht hilfesuchend an die Behörden wenden, da diese ihn aufgrund seiner sexuellen Orientie- rung ebenfalls bereits diskriminiert und gefoltert hätten. Als Homosexueller in Jordanien zu leben könne sodann zu einem uner- träglichen psychischen Druck führen. Er könne sich seinen Partner nicht frei aussuchen und sich im Alltag nicht ausleben. In Jordanien sei er Opfer von Diskriminierungen, Beleidigungen und Bedrohungen geworden. Er habe sein Studium nicht abschliessen können und sei aufgrund seiner Ho- mosexualität aus der Armee entlassen sowie zwei Mal inhaftiert und gefol- tert worden. All diese Faktoren hätten einen entscheidenden Einfluss auf seine geistige Gesundheit gehabt. Die ständige Angst, «entdeckt» zu wer- den und permanent Beleidigungen, Bedrohungen und Gewalt ausgesetzt</w:t>
      </w:r>
    </w:p>
    <w:p>
      <w:r>
        <w:t>E-4707/2020 Seite 14 zu sein, seien keine menschenwürdigen Lebensumstände. Jede andere Person in seiner Lage wäre ebenfalls geflüchtet.</w:t>
      </w:r>
    </w:p>
    <w:p>
      <w:r>
        <w:rPr>
          <w:b/>
        </w:rPr>
        <w:t>E. 7.1</w:t>
      </w:r>
    </w:p>
    <w:p>
      <w:r>
        <w:t>Nach Prüfung der Akten gelangt das Bundesverwaltungsgericht zum Schluss, dass die Verfügung der Vorinstanz hinsichtlich der Verneinung der Flüchtlingseigenschaft und der Ablehnung des Asylgesuchs zu stützen ist. Das SEM hat mit ausführlicher und im Wesentlichen überzeugender Be- gründung dargelegt, weshalb die Vorbringen des Beschwerdeführers we- der den Anforderungen von Art. 3 AsylG an die Flüchtlingseigenschaft, noch den Anforderungen von Art. 7 AsylG an das Glaubhaftmachen stand- hielten. Der Beschwerdeführer vermag den diesbezüglichen vorinstanzli- chen Ausführungen mit seiner Beschwerde – welche sich in weiten Teilen in blossen Gegenbehauptungen ohne substanziellen Gehalt erschöpft – nichts Stichhaltiges zu entgegnen. Dies auch unter Berücksichtigung sei- ner psychischen Erkrankung, welcher im Rahmen der nachfolgenden Prü- fung entsprechend Rechnung getragen und in E. 7.6 gesondert gewürdigt wird. Zur Vermeidung von Wiederholungen kann vorab – mit den nachfol- genden Ergänzungen – auf die Ausführungen der Vorinstanz gemäss an- gefochtener Verfügung (dort E. IV) und obiger Zusammenfassung in E. 6 verwiesen werden.</w:t>
      </w:r>
    </w:p>
    <w:p>
      <w:r>
        <w:rPr>
          <w:b/>
        </w:rPr>
        <w:t>E. 7.2</w:t>
      </w:r>
    </w:p>
    <w:p>
      <w:r>
        <w:t>Eingangs ist mit dem SEM auf die (versuchte) Identitätstäuschung und die damit einhergehende schwerwiegende Verletzung der Wahrheits- res- pektive Mitwirkungspflicht (Art. 8 AsylG) hinzuweisen. Der Beschwerdefüh- rer ersuchte unter Angabe falscher Personalien und Abgabe falscher Iden- titätsdokumente in der Schweiz um Asyl und konstruierte eine hierzu pas- sende Biographie (inkl. zahlreicher Details) sowie Fluchtgeschichte (vgl. A7). Mit seinen Visumsanträgen konfrontiert, beharrte er auf seinen Angaben (vgl. A8). Dabei gab er ausweichende Antworten und führte aus, er werde dem SEM seinen syrischen Pass nachreichen (vgl. a.a.O. Q6). Sein Vorgehen lässt auf eine Identitätstäuschung schliessen. Diese ver- suchte Täuschung über seine Identität lässt sich nicht allein mit seinem psychischen Zustand und dem pauschalen Einwand, er habe bei der Ein- reise in die Schweiz nicht mehr gewusst, wer er sei (vgl. Beschwerdeein- gabe S. 11 Ziff. 6 und A64, F124 f.), erklären. Eine solche Vorgehensweise steht in Widerspruch zu der nachgeschobenen Schutzbehauptung, tempo- rär irgendwie nicht mehr ganz gewusst zu haben, wer er sei. Dass die Iden- titätstäuschung mit psychischen Problemen erklärt werden könnte, geht im Übrigen denn auch nicht aus den in den Akten liegenden Arztberichten her-</w:t>
      </w:r>
    </w:p>
    <w:p>
      <w:r>
        <w:t>E-4707/2020 Seite 15 vor (vgl. A89; A72; A60; A55 Beweismittel 3 und 9 sowie auf Beschwerde- ebene eingereichte Arztberichte). Vor dem Hintergrund dieser Identitäts- täuschung und der schweren Verletzung seiner Wahrheits- und Mitwir- kungspflichten ist die persönliche Glaubwürdigkeit des Beschwerdeführers schwerwiegend erschüttert. Dies ist bei der Prüfung der Glaubhaftigkeit seiner Asylvorbringen zu berücksichtigen.</w:t>
      </w:r>
    </w:p>
    <w:p>
      <w:r>
        <w:rPr>
          <w:b/>
        </w:rPr>
        <w:t>E. 7.3</w:t>
      </w:r>
    </w:p>
    <w:p>
      <w:r>
        <w:t>Der Umstand, dass dem Beschwerdeführer durch die polnischen Be- hörden zwei Mal (am […] November 2014 und am […] Februar 2017) ein Schengen-Visum (Typ C) ausgestellt wurde (vgl. A4, A8) ist als weiteres gewichtiges Element bei der Beurteilung der Glaubhaftigkeit seiner Asyl- gründe zu berücksichtigen. Um ein solches Visum zu erhalten, muss eine Person unter anderem über eine für alle Schengen-Länder gültige Reise- beziehungsweise Krankenversicherung mit einer Mindestdeckung von 30'000 Euro sowie einen Nachweis über ausreichend finanzielle Mittel (wie bspw. einen aktuellen Einkommensnachweis des Arbeitsgebers der letzten drei Monate) verfügen. Überdies ist eine persönliche Vorsprache auf der Botschaft in Amman erforderlich zur Abgabe der Fingerabdrücke (vgl. &lt; https://www.gov.pl/web/jordan/visas---general-information &gt;, Bio- metric Data; &lt; https://www.gov.pl/web/jordan/c-type-schengen-visa &gt;, beide abgerufen am 26. Oktober 2022). In Bezug auf die Ausstellung eines Schengen-Visums ist weiter darauf hin- zuweisen, dass die Ausstellungsvoraussetzungen für den gesamten Schengen-Raum – und somit auch für ein von Polen ausgestelltes Schen- gen-Visum – im Rahmen des Schengener Grenzkodex (Verordnung [EG] Nr. 2016/399 des Europäischen Parlaments und des Rates vom 9. März 2016 [kodifizierter Text] über einen Gemeinschaftskodex für das Über- schreiten der Grenzen durch Personen [nachfolgend: Schengener Grenz- kodex, SGK, ABl. L 77/1 vom 23. März 2016]) geregelt sind. Auch die Schweiz als Schengen-Staat setzt die Bestimmungen des Schengener- Grenzkodex um. Hierbei gilt Folgendes: Drittstaatsangehörige benötigen zur Einreise in den Schengen-Raum für einen Aufenthalt von höchstens 90 Tagen innerhalb eines Zeitraums von 180 Tagen gültige Reisedokumente, die zum Grenzübertritt berechtigen, und ein Visum, sofern dieses – wie im Falle des aus Jordanien stammen- den Beschwerdeführers – erforderlich ist (vgl. Anhang I zur Verordnung (EU) 2018/1806, ABl. L 303/39 vom 28.11.2018; zum vollständigen Quel- lennachweis vgl. Fussnote zu Art. 8 Abs. 1 der Verordnung über die Ein- reise und Visumerteilung vom 15. August 2018 [VEV, SR 142.204]). Im</w:t>
      </w:r>
    </w:p>
    <w:p>
      <w:r>
        <w:t>E-4707/2020 Seite 16 Weiteren müssen Drittstaatsangehörige den Zweck und die Umstände ih- res beabsichtigten Aufenthalts belegen und hierfür über ausreichende fi- nanzielle Mittel verfügen. Namentlich haben sie in diesem Zusammenhang zu belegen, dass sie den Schengen-Raum vor Ablauf des bewilligungs- freien Aufenthalts verlassen, beziehungsweise ausreichende Gewähr für eine fristgerechte Wiederausreise bieten. Des Weiteren dürfen Drittstaats- angehörige nicht im Schengener Informationssystem (SIS) zur Einreisever- weigerung ausgeschrieben sein und keine Gefahr für die öffentliche Ord- nung, die innere Sicherheit, die öffentliche Gesundheit oder die internatio- nalen Beziehungen eines Mitgliedstaats darstellen (vgl. zu den Einreisevo- raussetzungen: Art. 5 Abs. 1 und 2 AIG [SR 142.20]; Art. 3 und 8 VEV i.V.m. Art. 6 Abs. 1 und 2 des SGK; Art. 14 Abs. 1 und Art. 21 Abs. 1 der Verordnung [EG] Nr. 810/2009 des Europäischen Parlaments und des Ra- tes vom 13. Juli 2009 über einen Visakodex der Gemeinschaft [nachfol- gend: Visakodex]; CARONI et al., Migrationsrecht, 4. Aufl. 2018, S. 141 ff.). Hierzu kann auf die einschlägige Rechtsprechung des Bundesverwal- tungsgerichts verwiesen werden (vgl. hierzu statt vieler: Urteile des BVGer F-2165/2020 vom 12. April 2021 E. 4.2.; F-1267/2020 vom 28. September 2020 E. 3.2.; F-1295/2020 vom 15. September 2020 E.3.3; F-2265/2019 vom 2. Juni 2020 E. 3.3.). Vor dem aufgezeigten Hintergrund kann daher grundsätzlich ausgeschlos- sen werden, dass der Beschwerdeführer, wie von ihm behauptet, als mit- telloser und auf der Strasse lebender Obdachloser mehrfach ein Schen- gen-Visum hätte bekommen können. Die sehr strengen Voraussetzungen für die Ausstellung eines Schengen-Visums stünden solchen Umständen in mehrfacher Hinsicht (beispielsweise: fehlender Wohnsitz, fehlende fi- nanzielle Absicherung, fehlende Gewähr für eine fristgerechte Wiederaus- reise) diametral entgegen. Mit dem blossen Hinweis auf die angebliche – und im Übrigen nicht weiter substanziierte – Unterstützung durch einen christlichen Ordensmann (vgl. Beschwerdeeingabe S. 8 sowie A56, Q66) vermag der Beschwerdeführer nichts zur Klärung dieses Sachverhaltsas- pekts beizutragen. Vor dem aufgezeigten Hintergrund ist davon auszugehen, dass der Be- schwerdeführer auch diesbezüglich gegenüber der Vorinstanz falsche An- gaben zu seinen Lebensumständen gemacht hat. Aufgrund der Aktenlage ist anzunehmen, dass der Beschwerdeführer zum Zeitpunkt der Beantra- gung der Schengen-Visa unter anderem über ein geregeltes Einkommen beziehungsweise über finanzielle Mittel verfügt haben muss. Die von ihm behaupteten gegenteiligen Lebensumstände sind unglaubhaft.</w:t>
      </w:r>
    </w:p>
    <w:p>
      <w:r>
        <w:t>E-4707/2020 Seite 17</w:t>
      </w:r>
    </w:p>
    <w:p>
      <w:r>
        <w:rPr>
          <w:b/>
        </w:rPr>
        <w:t>E. 7.4</w:t>
      </w:r>
    </w:p>
    <w:p>
      <w:r>
        <w:t>Wie das SEM korrekterweise feststellt, besteht in Jordanien nicht per se eine flüchtlingsrelevante Verfolgung homosexueller Personen im Sinne von Art. 3 AsylG (vgl. Urteil des BVGer D-236/2021 vom 18. Februar 2021). Die entsprechenden vorinstanzlichen Ausführungen sind zu stützen, wes- halb vorliegend auf weitere Ausführungen zur allgemeinen Situation homo- sexueller Personen in Jordanien verzichtet werden kann. Die diesbezügli- chen Beschwerdeausführungen vermögen zu keiner anderen Schlussfol- gerung zu führen. Es bleibt zu prüfen, ob die vom Beschwerdeführer im Zusammenhang mit seiner sexuellen Orientierung angeführten Nachteile glaubhaft sind und diesfalls allenfalls zu einer Bejahung asylrelevanter Ver- folgung führen könnten.</w:t>
      </w:r>
    </w:p>
    <w:p>
      <w:r>
        <w:rPr>
          <w:b/>
        </w:rPr>
        <w:t>E. 7.4.1</w:t>
      </w:r>
    </w:p>
    <w:p>
      <w:r>
        <w:t>Die Schilderungen des Beschwerdeführers sind insbesondere in chronologischer Hinsicht sehr ungeordnet ausgefallen und teilweise nur schwer nachvollziehbar. Dies mag zu einem Teil auf seine psychische Si- tuation zurückzuführen sein; es fiel ihm insbesondere gegen Ende der zweiten Anhörung schwer, sich zu konzentrieren (vgl. A64, F19, F36, F175 f.; vgl. auch A72, Arztbericht vom […] April 2020, Ziff. 1.3; Arztbericht vom […] April 2021, S. 2). Dennoch ist es zu erheblichen Unstimmigkeiten ge- kommen, welche sich nicht bloss dadurch erklären lassen. Zum einen machte der Beschwerdeführer widersprüchliche Angaben dazu, wie und wo er im Anschluss an die Entlassung aus dem Militärdienst im (…) 2011 gelebt habe. Einerseits gab er an, von Anfang an auf der Strasse «gewohnt» respektive geschlafen zu haben (vgl. A64, F46, F54; vgl. auch Stellungnahme der APDH), andererseits habe er noch während rund einem Jahr zuhause gewohnt und in dieser Zeit von der Familie unbemerkt auf der Strasse als (…) gearbeitet (vgl. A64, F56 f., F107 f.). An anderer Stelle gab er an, das Familiendomizil erst im Jahr 2014 verlassen zu haben (vgl. A56, Q27; vgl. auch Q99). Zum anderen ist nicht nachvollziehbar, wie er seine Demobilisierung respektive Entlassung aus der Armee ein ganzes Jahr vor der Familie habe geheim halten können. Dies, zumal er noch (…) Monate in Militärgewahrsam gewesen sei und sein Vater als ehemaliger Befehlshaber in der (…) sowie bei der (…) auch über Beziehungen verfügt habe (vgl. A64, F37). Die entsprechenden Behauptungen erweisen sich daher als lebensfremd. Weiter machte der Beschwerdeführer unterschiedliche Angaben zum Grund für seine angebliche (…) Haft im Militär respektive die darauffol- gende Suspendierung vom Dienst. In der ersten Anhörung erwähnte er eine Überschreitung eines Diensturlaubs um (…) Tage als Hauptgrund der</w:t>
      </w:r>
    </w:p>
    <w:p>
      <w:r>
        <w:t>E-4707/2020 Seite 18 Haft 2011 – darüber hinaus habe man ihn beim Schauen eines Videos be- obachtet (vgl. A56, Q131). An der zweiten Anhörung fand die Überschrei- tung des Diensturlaubs keine Erwähnung mehr. Stattdessen nannte er als Grund für die Haft einzig das Schauen des pornographischen Videos (vgl. A56, Q131; A64, F48, F153). Zudem ist der Beschwerdeführer eigenen Angaben zufolge auf legalem Weg und mit seinem eigenen Pass nach Polen gereist (vgl. A56, Q63). Vor diesem Hintergrund ist weder die angebliche Drohung der Flughafenbeam- ten ihm gegenüber noch seine Befürchtung nachvollziehbar, bei einer Rückreise sofort verhaftet und getötet zu werden (vgl. A56, Q170, Q176 ff.), zumal man ihn bei einem derart hohen Verfolgungsinteresse wohl gar nicht erst hätte ausreisen lassen.</w:t>
      </w:r>
    </w:p>
    <w:p>
      <w:r>
        <w:rPr>
          <w:b/>
        </w:rPr>
        <w:t>E. 7.4.2</w:t>
      </w:r>
    </w:p>
    <w:p>
      <w:r>
        <w:t>Im Weiteren fehlt es den Schilderungen des Beschwerdeführers an der zu erwartenden und erforderlichen Substanz. Wie vom SEM zu Recht festgestellt, fielen seine Aussagen sowohl zum Grund der angeblichen In- haftierung respektive Suspendierung, zur Haft in Militärgewahrsam im Jahr 2011, als auch zur späteren (…) Haft – ungeachtet der Erwähnung einzel- ner Details und einzelner Realkennzeichen (vgl. A56, Q59 [direkte Rede]; Q138 [direkte Rede sowie Erwähnung Gefängnisbesuch durch Nichtregie- rungsorganisation]; Q139 [Beschrieb Zelle]; Q140, Q155 ff. [Beschrieb Haftregime]) – überwiegend oberflächlich aus (vgl. A56, Q136-140, Q154- 157; A64, F153). Dieselbe Feststellung ist auch bezüglich das von ihm ge- schilderte in flagranti Ertappen beim Geschlechtsverkehr mit seinem Freund (vgl. A56, Q114-116) oder zum Vorgehen beim (…) (vgl. A64, F79) zu treffen. Aussagen in dieser Qualität – inklusive der erwähnten Realkenn- zeichen – hätte ohne weiteres auch eine Person machen können, welche das Geschilderte nicht selbst erlebt hätte. Sodann fällt auf, dass der Beschwerdeführer öfters Antworten ausweicht und sich bei konkreten Nachfragen (auch bei einfachen) auf einen Ge- dächtnisverlust beruft oder mit den ihm gestellten Fragen in keinerlei Zu- sammenhang stehende, ausweichende Antworten gibt (vgl. nebst nachfol- genden Beispielen A56, Q144 f., Q177, Q180; A64, F133, F164). Vom SEM gebeten, das Gefängnis so detailliert wie möglich zu beschreiben, führte er zunächst aus, über jordanische Gefängnisse lieber nicht sprechen zu wol- len, da dies negative Konsequenzen für seine Familie haben könnte, soll- ten die jordanischen Behörden davon erfahren (vgl. A56, Q136). Seine plötzliche Sorge um die Familie ist vor dem Hintergrund, dass er an beiden</w:t>
      </w:r>
    </w:p>
    <w:p>
      <w:r>
        <w:t>E-4707/2020 Seite 19 Anhörungen an mehreren Stellen zu Protokoll gab, seine Familienmitglie- der seien alles Hunde und sie seien für ihn gestorben, nicht nachvollzieh- bar (vgl. A56, Q22, Q32; A64, F35, F84). Weiter war er weder in der Lage anzugeben, wie lange ihm der Ordensmann in der Kirche Obdach gewährt, noch wo sich diese Kirche befunden habe oder was das für eine Kirche gewesen sei. Stattdessen gab er ausweichend an, dass es im Islam ver- boten sei, Kirchen zu betreten und er sich damit über die Regeln des Islam hinweggesetzt habe (vgl. A56, Q77 f.). Auf die Frage, wo sich diese Kirche befinde, sagte er lediglich, dass es viele davon gebe (vgl. A56, Q79). Vor dem Hintergrund, welche Bedeutung der Beschwerdeführer der Unterstüt- zung durch die Kirche beziehungsweise den Ordensmann beimisst, spre- chen diese Wissenslücken erheblich gegen ein konkret erlebtes Gesche- hen. Auch konnte er trotz mehrmaliger Nachfragen nicht einmal konkret benennen, wer in Jordanien überhaupt nach ihm suche (vgl. A64, F25 f.). Angesichts dessen, dass er aus Angst vor Verfolgung sein Heimatland ver- lassen und sein bisheriges Leben aufgegeben haben will, erweisen sich auch diese Angaben als nicht lebensnah.</w:t>
      </w:r>
    </w:p>
    <w:p>
      <w:r>
        <w:rPr>
          <w:b/>
        </w:rPr>
        <w:t>E. 7.5</w:t>
      </w:r>
    </w:p>
    <w:p>
      <w:r>
        <w:t>Die eingereichten Beweismittel sind ebenfalls nicht geeignet, die Asyl- vorbringen zu untermauern. Diesbezüglich ist, entgegen den Beschwerde- ausführungen, klarzustellen, dass das SEM nicht feststellte, das Gerichts- dokument (vgl. A55, Beweismittel Nr. 1) sei gefälscht, sondern lediglich, dass ein solches mangels Sicherheitsmerkmalen leicht fälschbar und wohl auch käuflich erwerbbar sei, womit ihm praktisch kein Beweiswert zu- komme. Diese Feststellung des SEM ist zu bestätigen. Ferner ist darauf hinzuweisen, dass der Beschwerdeführer bereits zuvor die Behörden über seine Identität und seine dortigen Lebensumstände getäuscht hat. Die Glaubwürdigkeit des Beschwerdeführers ist daher bereits erschüttert. Vor diesem Hintergrund könnte einem grundsätzlich leicht fälschbaren heimat- lichen Beweismittel nur dann ein massgeblicher Beweiswert zuerkannt werden, wenn sich dieses mit der übrigen Aktenlage problemlos in Einklang bringen liesse. Solche Voraussetzungen liegen – wie bereits aufgezeigt – in casu jedoch nicht vor. Überdies ist in diesem Zusammenhang unklar, wie der Freund des Be- schwerdeführers scheinbar problemlos bei den Behörden die Herausgabe dieses Urteils hätte verlangen können (vgl. A56, Q74). Ferner ist nicht nachvollziehbar, weshalb dieses Urteil erst nach der Ausreise des Be- schwerdeführers ergangen sein soll. Die eingereichte Reservistenkarte (vgl. A55, Beweismittel Nr. 2) lässt sodann keinen Rückschluss auf die Gründe zu, welche zu seiner Demobilisierung führten. Demgegenüber geht</w:t>
      </w:r>
    </w:p>
    <w:p>
      <w:r>
        <w:t>E-4707/2020 Seite 20 aber zumindest aus der Existenz dieser Reservistenkarte hervor, dass der Beschwerdeführer nach seiner Demobilisierung noch (als Reservist) wei- terhin in der Dienstpflicht der Armee verblieben ist. Dieser Umstand ist nicht unerheblich. Denn er lässt sich nur sehr schwer mit seinen Behauptungen hinsichtlich der Umstände seiner Entlassung in Einklang bringen. Der Be- schwerdeführer brachte hierzu vor, dass er als enttarnter Homosexueller sofort nach der Haftentlassung aus dem Dienst entlassen und demobilisiert (und damit quasi aus homophoben Gründen aus dem Militärdienst ver- bannt) worden sei. Dies steht aber in Widerspruch zu dem Umstand, dass die Armee ihn weiterhin als Reservist in ihren Reihen behielt. Wäre der Beschwerdeführer also effektiv aus homophoben Gründen zwangsweise aus dem Dienst der Armee entfernt worden, hätten ihn die Militärbehörden wohl kaum weiterhin als Reservist in ihren Diensten behalten, sondern hät- ten ihn sicherlich vollständig und endgültig aus dem Dienst der Armee ver- bannt.</w:t>
      </w:r>
    </w:p>
    <w:p>
      <w:r>
        <w:rPr>
          <w:b/>
        </w:rPr>
        <w:t>E. 7.6</w:t>
      </w:r>
    </w:p>
    <w:p>
      <w:r>
        <w:t>Es ist anerkannt, dass sich gewisse psychische Beschwerden (wie bspw. eine Traumatisierung) negativ auf das Aussageverhalten auswirken können (vgl. Entscheidungen und Mitteilungen der Schweizerischen Asyl- rekurskommission [EMARK] 2005 Nr. 21 E. 6.2.3. S. 191 f.; 2003 Nr. 17 E. 4b S. 105 ff. m.w.H.). In casu wurden beim Beschwerdeführer eine (…) (ICD [International Statistical Classification of Diseases and Related Health Problems]-10 […]), eine (…) (ICD-10 […]) sowie eine (…) ([…]; ICD-10 […]) diagnostiziert. In den aktuellsten Arztberichten vom (…) April und (…) Juni 2021 liegt letztere Diagnose nicht mehr vor; stattdessen wurde neu eine (…) ([…] ICD-10 […]) diagnostiziert. Zum Status hielten die behandelnden Ärzte unter anderem fest, dass die Sprech- und Denkweise des Beschwer- deführers desorganisiert sei (vgl. a.a.O. S. 2). Es ist – wie oben in E. 7.4.1 erwähnt – festzustellen, dass seine Aussagen teilweise sehr ungeordnet ausgefallen sind und er Schwierigkeiten hatte, sich über die gesamte Dauer der Anhörung zu konzentrieren. Aus den Befragungsprotokollen ergibt sich aber auch, dass er die ihm gestellten Fragen grundsätzlich ver- standen hat, darauf aber ausweichende Antworten gab (vgl. Ausführungen oben in E. 7.4.2). Es sind auch keine Hinweise darauf ersichtlich, dass er sich – abgesehen von den erwähnten psychischen Beeinträchtigungen – an den Anhörungen nicht hat frei und uneingeschränkt äussern können. Die erwähnten Widersprüche, Unstimmigkeiten und die mangelnde Sub- stanz seiner Vorbringen – sowie insbesondere die Identitätstäuschung – lassen sich unter Würdigung der gesamten Aktenlage daher nicht bloss durch eine (…) oder die Übrigen psychischen Beschwerden erklären. Es kann angesichts der bestehenden Diagnosen zwar nicht ausgeschlossen</w:t>
      </w:r>
    </w:p>
    <w:p>
      <w:r>
        <w:t>E-4707/2020 Seite 21 werden, dass er in der Vergangenheit allenfalls eine traumatische Erfah- rung gemacht hat. Diese Diagnosen sind jedoch per se nicht geeignet, die konkreten Umstände des traumabegründenden Erlebnisses zu belegen (vgl. hierzu BVGE 2015/11 E. 7.2.1 f.).</w:t>
      </w:r>
    </w:p>
    <w:p>
      <w:r>
        <w:rPr>
          <w:b/>
        </w:rPr>
        <w:t>E. 7.7</w:t>
      </w:r>
    </w:p>
    <w:p>
      <w:r>
        <w:t>Gesamthaft betrachtet ist festzustellen, dass die Asylgründe des Be- schwerdeführers unglaubhaft sind. Nach dem Ausgeführten ist nicht davon auszugehen, dass ihm aufgrund seiner Homosexualität oder aus anderen Gründen in Jordanien eine asylrelevante Verfolgung droht. Das SEM hat demzufolge seine Flüchtlingseigenschaft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w:t>
      </w:r>
    </w:p>
    <w:p>
      <w:r>
        <w:rPr>
          <w:b/>
        </w:rPr>
        <w:t>E. 10.1</w:t>
      </w:r>
    </w:p>
    <w:p>
      <w:r>
        <w:t>Die Kosten des Beschwerdeverfahrens und die Parteientschädigung sind nach dem Verhältnis von Obsiegen und Unterliegen der beschwerde- führenden Person aufzuerlegen beziehungsweise zuzusprechen.</w:t>
      </w:r>
    </w:p>
    <w:p>
      <w:r>
        <w:rPr>
          <w:b/>
        </w:rPr>
        <w:t>E. 10.2</w:t>
      </w:r>
    </w:p>
    <w:p>
      <w:r>
        <w:t>Der Beschwerdeführer ist mit seinem Antrag auf Feststellung der Flüchtlingseigenschaft und der Gewährung des Asyls unterlegen. Bezüg- lich der Feststellung der Unzumutbarkeit des Wegweisungsvollzugs und der Gewährung der vorläufigen Aufnahme hat er obsiegt. Praxisgemäss bedeutet dies ein hälftiges Obsiegen. Bei diesem Ausgang des Verfahrens wären die um die Hälfte reduzierten Verfahrenskosten von Fr. 375.– dem</w:t>
      </w:r>
    </w:p>
    <w:p>
      <w:r>
        <w:t>E-4707/2020 Seite 22 Beschwerdeführer aufzuerlegen (Art. 63 Abs. 1 VwVG). Da jedoch von sei- ner Bedürftigkeit auszugehen ist und sich die Beschwerde zum Zeitpunkt der Einreichung nicht als aussichtslos präsentierte, ist das Gesuch um Ge- währung der unentgeltlichen Prozessführung gemäss Art. 65 Abs. 1 VwVG gutzuheissen und auf die Erhebung von Verfahrenskosten zu verzichten. Mit dem vorliegenden Direktentscheid in der Sache ist das Gesuch um Kostenvorschussverzicht gegenstandslos geworden.</w:t>
      </w:r>
    </w:p>
    <w:p>
      <w:r>
        <w:rPr>
          <w:b/>
        </w:rPr>
        <w:t>E. 10.3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Feststellung der Unzu- mutbarkeit des Vollzugs der Wegweisung und die Gewährung der vorläufi- gen Aufnahme des Beschwerdeführers durch das SEM herbeigeführt wurde.</w:t>
      </w:r>
    </w:p>
    <w:p>
      <w:r>
        <w:rPr>
          <w:b/>
        </w:rPr>
        <w:t>E. 10.4</w:t>
      </w:r>
    </w:p>
    <w:p>
      <w:r>
        <w:t>In der von seinem Rechtsvertreter eingereichten Kostennote vom 23. September 2020 wird für die Beschwerdeerhebung ein Aufwand von Fr. 1'730.– bei einem Stundenansatz von Fr. 150.– ausgewiesen. Dieser erscheint grundsätzlich angemessen, eine Dossiereröffnungspauschale wird jedoch praxisgemäss nicht vergütet. Überdies kann vorliegend man- gels Konkretisierung die geltend gemachte «Frais d’infrastructures» nicht vergütet werden, da für das Gericht nicht ersichtlich ist, welcher Aufwand damit ausgewiesen werden soll und ob dieser das Erfordernis der Notwen- digkeit erfüllt. Der seit der Beschwerdeerhebung ergangene Aufwand ist ebenfalls zu berücksichtigen. Das SEM ist anzuweisen, dem Beschwerdeführer eine um die Hälfte redu- zierte Parteientschädigung von Fr. 1002.50 (inkl. Auslagen) auszurichten.</w:t>
      </w:r>
    </w:p>
    <w:p>
      <w:r>
        <w:rPr>
          <w:b/>
        </w:rPr>
        <w:t>E. 10.5</w:t>
      </w:r>
    </w:p>
    <w:p>
      <w:r>
        <w:t>Nachdem der Antrag auf unentgeltliche Prozessführung gutgeheissen wurde und das Bundesverwaltungsgericht nach aArt. 110a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antrags- gemäss MLaw Philippe Stern als amtlicher Rechtsbeistand des Beschwer- deführers einzusetzen. Im Umfang des Unterliegens ist ihm durch das Bun- desverwaltungsgericht ein amtliches Honorar zu entrichten.</w:t>
      </w:r>
    </w:p>
    <w:p>
      <w:r>
        <w:t>E-4707/2020 Seite 23 Unter Berücksichtigung des massgebenden Stundenansatzes von Fr. 150.– für nichtanwaltliche Rechtsvertretungen ist dem amtlichen Rechtsbeistand vom Bundesverwaltungsgericht ein um die Hälfte reduzier- tes Honorar in der Höhe von insgesamt Fr. 1002.50 (inklusive Auslagen) auszurichten.</w:t>
      </w:r>
    </w:p>
    <w:p>
      <w:r>
        <w:t>(Dispositiv nächste Seite)</w:t>
      </w:r>
    </w:p>
    <w:p>
      <w:r>
        <w:t>E-4707/2020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