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E-4700/2017 vom 4. Oktober 2017</w:t>
      </w:r>
    </w:p>
    <w:p>
      <w:r>
        <w:t>Bundesverwaltungsgericht, 2017-10-04, DE</w:t>
      </w:r>
    </w:p>
    <w:p>
      <w:r>
        <w:rPr>
          <w:b/>
        </w:rPr>
        <w:t xml:space="preserve">Quelle: </w:t>
      </w:r>
      <w:r>
        <w:t>https://mcp.opencaselaw.ch/entscheid/bvger_E-4700_2017</w:t>
      </w:r>
    </w:p>
    <w:p>
      <w:r>
        <w:t>FR: TAF E-4700/2017 du 4 octobre 2017</w:t>
      </w:r>
    </w:p>
    <w:p>
      <w:r>
        <w:t>IT: TAF E-4700/2017 del 4 ottobre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4.3</w:t>
      </w:r>
    </w:p>
    <w:p>
      <w:r>
        <w:t>Das SEM hat den grundsätzlichen Anspruch der Beschwerdeführerinnen auf Behandlung des Wiedererwägungsgesuchs vom 4. November 2016 nicht in Abrede gestellt. Im vorliegenden Beschwerdeverfahren ist zu prüfen, ob das SEM zu Recht davon ausgegangen ist, es liege keine veränderte Sachlage vor, die den Vollzug der Wegweisung als unzumutbar erscheinen lasse. Die Fragen der Flüchtlingseigenschaft und des Asyls sind - wie die Wegweisung als solche - nicht Gegenstand des vorliegenden Beschwerdeverfahrens. Für die Beurteilung der Durchführbarkeit des Wegweisungsvollzugs ist praxisgemäss der sich im Urteilszeitpunkt präsentierende Sachverhalt massgebend.</w:t>
      </w:r>
    </w:p>
    <w:p>
      <w:r>
        <w:rPr>
          <w:b/>
        </w:rPr>
        <w:t>E. 5.1</w:t>
      </w:r>
    </w:p>
    <w:p>
      <w:r>
        <w:t>Die Beschwerdeführerin bekräftigt im Rahmen ihrer Beschwerdeeingabe das Vorbringen, dass ihr und ihrem Kind im Falle einer Rückführung in die Heimat eine existentielle Notlage drohe, zumal sie als alleinerziehende Mutter verschiedene Kosten, wie beispielsweise für eine Unterkunft, Gesundheits- und Bildungskosten sowie Lebensmittel alleine tragen müsse. Nichts lasse darauf schliessen, dass ihre Angehörigen in Kamerun sie und das Kind unterstützen würden. Seit ihr Ehemann gestanden habe, homosexuell zu sein, sei das Verhältnis zwischen ihnen beiden sehr schlecht. Sie könne deshalb nicht auf seine Unterstützung zählen. Dasselbe gelte für seine Eltern, eine Unterstützung ihrerseits sei aufgrund des schlechten Verhältnisses zwischen ihr und ihrem Ehemann sehr hypothetisch. Aufgrund der aufschiebenden Wirkung einer Beschwerde im ordentlichen Asylverfahren, und dem damit verbundenen ausgesetzten Wegweisungsvollzug ihres Ehemannes, verletzte der Vollzug ihrer Wegweisung zudem den Grundsatz der Einheit der Familie gemäss Art. 44 AsylG.</w:t>
      </w:r>
    </w:p>
    <w:p>
      <w:r>
        <w:rPr>
          <w:b/>
        </w:rPr>
        <w:t>E. 5.2</w:t>
      </w:r>
    </w:p>
    <w:p>
      <w:r>
        <w:t>Das Gericht kommt nach Durchsicht der Akten zum Schluss, dass die Vorbringen der Beschwerdeführerin nicht geeignet sind, die vorinstanzlichen Schlüsse betreffend die weiterhin gegebene Zumutbarkeit des Wegweisungsvollzugs zu erschüttern.</w:t>
      </w:r>
    </w:p>
    <w:p>
      <w:r>
        <w:rPr>
          <w:b/>
        </w:rPr>
        <w:t>E. 5.2.1</w:t>
      </w:r>
    </w:p>
    <w:p>
      <w:r>
        <w:t>Vorab ist festzuhalten, dass alleine der Umstand, dass die Beschwerdeführerin jetzt nicht mehr ungebunden ist, sondern jetzt auch für ein Kind zu sorgen hat, nicht gegen die Zumutbarkeit des Wegweisungsvollzugs spricht.</w:t>
      </w:r>
    </w:p>
    <w:p>
      <w:r>
        <w:rPr>
          <w:b/>
        </w:rPr>
        <w:t>E. 5.2.2</w:t>
      </w:r>
    </w:p>
    <w:p>
      <w:r>
        <w:t>Aufgrund der Akten besteht weiter kein hinreichender Anlass zur Annahme, dass die Beschwerdeführerin und ihr Kind in ihrer Heimat über keine persönlichen Anknüpfungspunkte mehr verfügen. So leben gemäss eigenen Aussagen der Beschwerdeführerin ihre Onkel, Tanten und ihr Bruder noch in Kamerun und sie stehe mit diesen Personen auch noch in Kontakt (vgl. Akten des Asylverfahrens, A34/19, F 42 und 46). Da die Beschwerdeführerin nach dem Tod ihrer Eltern bei ihrer Tante lebte, ist davon auszugehen, dass sie nach ihrer Rückkehr insbesondere auf deren Hilfe und Unterstützung zählen kann (vgl. Akten des Asylverfahrens, A10/12, S. 5 und A34/10 F 18). Hinzu kommt, dass auch die Angehörigen ihres Ehemannes in verschiedenen Landesteilen Kameruns leben, wobei sich ihre Schwiegermutter anscheinend auch um die noch in Kamerun lebende andere (...) kümmert (vgl. Akten des Asylverfahrens, A10/12, S. 5 und A34/19, F 31,136). Schliesslich hat das Bundesverwaltungsgericht mit Urteil E-4589/2017 vom heutigen Datum auch die Beschwerde des Ehemannes und Vaters der Beschwerdeführerinnen abgewiesen. Damit ist die im Rahmen seines zweiten Asylverfahrens erlassene Verfügung vom 19. Juli 2017 rechtskräftig geworden und die Wegweisung nach Kamerun kann vollzogen werden, zumal keine Vollzugshindernisse vorliegen. Angesichts dieser Tatsache ist davon auszugehen, dass die Beschwerdeführerinnen auch in Zukunft auf die Unterstützung ihres Ehemannes beziehungsweise Vaters zählen können. Dies auch dann, wenn sich die Beschwerdeführerin und ihr Ehemann trennen. Auffällig ist, dass die Beschwerdeführerin einerseits vorbringt, die Beziehung zum Mann beziehungsweise Vater ihres Kindes sei schlecht, es sei keine Unterstützung zu erwarten, andererseits beruft sie sich auf Art. 44 AsylG und damit auf das Vorliegen einer gefestigten familiären Beziehung, was offensichtlich widersprüchlich ist. Nach dem Gesagten können die Beschwerdeführerinnen auch aus dem geltend gemachten Art. 44 AsylG nichts zu ihren Gunsten ableiten.</w:t>
      </w:r>
    </w:p>
    <w:p>
      <w:r>
        <w:rPr>
          <w:b/>
        </w:rPr>
        <w:t>E. 5.2.3</w:t>
      </w:r>
    </w:p>
    <w:p>
      <w:r>
        <w:t>Schliesslich ist in diesem Zusammenhang festzuhalten, dass die Beschwerdeführerin das SEM über die für den Wegweisungsvollzug zuständige kantonale Behörde um die Ausrichtung von Rückkehrhilfe ersuchen kann, was sie bisher, soweit ersichtlich wohl mangels Bereitschaft zu einer Rückkehr unterlassen hat (vgl. dazu Art. 93 Abs. 1 AsylG i.V.m. Art. 62 ff. Asylverordnung 2 vom 11. August 1999 über Finanzierungsfragen [AsylV 2, SR 142.312]).</w:t>
      </w:r>
    </w:p>
    <w:p>
      <w:r>
        <w:rPr>
          <w:b/>
        </w:rPr>
        <w:t>E. 5.3</w:t>
      </w:r>
    </w:p>
    <w:p>
      <w:r>
        <w:t>Die Ausführungen in der Beschwerde sind angesichts dieser Sachlage offensichtlich nicht geeignet, zu einer anderen Beurteilung zu führen, zumal sie im Wesentlichen lediglich die im Wiedererwägungsgesuch vom 4. November 2016 geltend gemachten Gründe wiederholen.</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Mit vorliegendem Urteil wird der Antrag auf Erteilung der aufschiebenden Wirkung der Beschwerde gegenstandslos.</w:t>
      </w:r>
    </w:p>
    <w:p>
      <w:r>
        <w:rPr>
          <w:b/>
        </w:rPr>
        <w:t>E. 8.1</w:t>
      </w:r>
    </w:p>
    <w:p>
      <w:r>
        <w:t>Der Antrag auf Gewährung der unentgeltlichen Rechtspflege im Sinne von Art. 65 Abs. 1 VwVG ist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den Beschwerdeführerinnen aufzuerlegen (Art. 63 Abs. 1 VwVG) und auf insgesamt Fr. 1'500. festzusetzen (Art. 1 3 des Reglements vom 21. Februar 2008 über die Kosten und Entschädigungen vor dem Bundesverwaltungsgericht [VGKE, SR 173.320.2]). Das Gesuch um Kostenvorschussverzicht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