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E-4697/2015 vom 10. August 2015</w:t>
      </w:r>
    </w:p>
    <w:p>
      <w:r>
        <w:t>Bundesverwaltungsgericht, 2015-08-10, FR</w:t>
      </w:r>
    </w:p>
    <w:p>
      <w:r>
        <w:rPr>
          <w:b/>
        </w:rPr>
        <w:t xml:space="preserve">Quelle: </w:t>
      </w:r>
      <w:r>
        <w:t>https://mcp.opencaselaw.ch/entscheid/bvger_E-4697_2015</w:t>
      </w:r>
    </w:p>
    <w:p>
      <w:r>
        <w:t>FR: TAF E-4697/2015 du 10 août 2015</w:t>
      </w:r>
    </w:p>
    <w:p>
      <w:r>
        <w:t>IT: TAF E-4697/2015 del 10 agosto 2015</w:t>
      </w:r>
    </w:p>
    <w:p>
      <w:pPr>
        <w:pStyle w:val="Heading2"/>
      </w:pPr>
      <w:r>
        <w:t>Regeste</w:t>
      </w:r>
    </w:p>
    <w:p>
      <w:r>
        <w:t>Demande d'asile présentée à l'étranger et autorisation d'entrée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Il n'est pas perçu de frais.</w:t>
      </w:r>
    </w:p>
    <w:p>
      <w:r>
        <w:rPr>
          <w:b/>
        </w:rPr>
        <w:t>E. 3</w:t>
      </w:r>
    </w:p>
    <w:p>
      <w:r>
        <w:t>Le présent arrêt est adressé aux recourants, par l'entremise de l'Ambassade de Suisse à Colombo, et au SEM. Le juge unique : Le greffier : Jean-Pierre Monnet Jean-Marie Staubli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