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E-4696/2012 vom 17. Dezember 2012</w:t>
      </w:r>
    </w:p>
    <w:p>
      <w:r>
        <w:t>Bundesverwaltungsgericht, 2012-12-17, DE</w:t>
      </w:r>
    </w:p>
    <w:p>
      <w:r>
        <w:rPr>
          <w:b/>
        </w:rPr>
        <w:t xml:space="preserve">Quelle: </w:t>
      </w:r>
      <w:r>
        <w:t>https://mcp.opencaselaw.ch/entscheid/bvger_E-4696_2012</w:t>
      </w:r>
    </w:p>
    <w:p>
      <w:r>
        <w:t>FR: TAF E-4696/2012 du 17 décembre 2012</w:t>
      </w:r>
    </w:p>
    <w:p>
      <w:r>
        <w:t>IT: TAF E-4696/2012 del 17 dicembre 2012</w:t>
      </w:r>
    </w:p>
    <w:p>
      <w:pPr>
        <w:pStyle w:val="Heading2"/>
      </w:pPr>
      <w:r>
        <w:t>Regeste</w:t>
      </w:r>
    </w:p>
    <w:p>
      <w:r>
        <w:t>Aufhebung vorläufige Aufnahme (Asyl)</w:t>
      </w:r>
    </w:p>
    <w:p>
      <w:pPr>
        <w:pStyle w:val="Heading2"/>
      </w:pPr>
      <w:r>
        <w:t>Erwägungen</w:t>
      </w:r>
    </w:p>
    <w:p>
      <w:r>
        <w:rPr>
          <w:b/>
        </w:rPr>
        <w:t>E. 1.1</w:t>
      </w:r>
    </w:p>
    <w:p>
      <w:r>
        <w:t>Das Bundesverwaltungsgericht entscheidet unter anderem endgültig über Beschwerden gegen Verfügungen des BFM in Sachen Aufhebung der vorläufigen Aufnahme von Ausländerinnen und Ausländern in der Schweiz (Art. 84 Abs. 2 und 3 AuG i.V.m. Art. 31 und 33 des Verwaltungsgerichtsgesetzes vom 17. Juni 2005 [VGG, SR 173.32]; Art. 83 Bst. c Ziff. 3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112 Abs. 1 AuG i.V.m. Art. 37 VGG, Art. 48 Abs. 1, Art. 50 Abs. 1 sowie Art. 52 Abs. 1 des Verwaltungsverfahrensgesetzes vom 20. Dezember 1968 [VwVG, SR 172.021]). Auf die Beschwerde ist einzutreten.</w:t>
      </w:r>
    </w:p>
    <w:p>
      <w:r>
        <w:rPr>
          <w:b/>
        </w:rPr>
        <w:t>E. 1.3</w:t>
      </w:r>
    </w:p>
    <w:p>
      <w:r>
        <w:t>Mit Beschwerde kann die Verletzung von Bundesrecht, die unrichtige oder unvollständige Feststellung des rechtserheblichen Sachverhalts und die Unangemessenheit gerügt werden (Art. 112 Abs. 1 AuG i.V.m. Art. 49 VwVG).</w:t>
      </w:r>
    </w:p>
    <w:p>
      <w:r>
        <w:rPr>
          <w:b/>
        </w:rPr>
        <w:t>E. 2.1</w:t>
      </w:r>
    </w:p>
    <w:p>
      <w:r>
        <w:t>Der Beschwerdeführer wurde vom BFF mit Verfügung vom 10. Juni 2003 gestützt auf Art. 44 Abs. 2 des Asylgesetzes vom 26. Juni 1998 (AsylG, SR 142.31) in Verbindung mit Art. 14a Abs. 4 des Bundesgesetzes vom 26. März 1931 über Aufenthalt und Niederlassung der Ausländer (ANAG, BS 1 121) in der Schweiz vorläufig aufgenommen. Am 1. Januar 2008 ist das AuG in Kraft getreten und gleichzeitig das ANAG aufgehoben worden (Art. 125 i.V.m. Anhang Ziff. I AuG). Für Personen, die im Zeit­punkt des Inkrafttretens des AuG vorläufig aufgenommen sind, gilt ge­mäss Art. 126a Abs. 4 AuG neues Recht. Im vorliegenden Beschwerde­verfahren ist mithin zu prüfen, ob die Voraussetzungen für die Aufhebung der vorläufigen Aufnahme des Beschwerdeführers nach dem AuG gege­ben sind.</w:t>
      </w:r>
    </w:p>
    <w:p>
      <w:r>
        <w:rPr>
          <w:b/>
        </w:rPr>
        <w:t>E. 2.2</w:t>
      </w:r>
    </w:p>
    <w:p>
      <w:r>
        <w:t>Gemäss Art. 84 Abs. 1 AuG überprüft das BFM periodisch, ob die Voraussetzungen für die vorläufige Aufnahme - eine Ersatzmassnahme für den nicht durchführbaren Vollzug der Wegweisung - noch gegeben sind. Ist dies nicht mehr der Fall, hebt es die vorläufige Aufnahme auf und ordnet den Vollzug der Wegweisung an (Art. 84 Abs. 2 AuG). Die Voraussetzungen für die vorläufige Aufnahme sind nicht mehr gegeben, wenn der Vollzug der Wegweisung zulässig (Art. 83 Abs. 3 AuG) und es der ausländischen Person auch zumutbar (Art. 83 Abs. 4 AuG) und möglich ist (Art. 83 Abs. 2 AuG), sich rechtmässig in ihren Heimat-, in den Herkunfts- oder in einen Drittstaat zu begeben. Ausserdem kann das Bundesamt eine wegen Unzumutbarkeit oder Unmöglichkeit des Vollzugs angeordnete vorläufige Aufnahme auf Antrag der kantonalen Behörden oder des Bundesamts für Polizei aufheben, wenn Gründe nach Art. 83 Abs. 7 AuG gegeben sind (Art. 84 Abs. 3 AuG). Gemäss Art. 83 Abs. 7 AuG wird die vorläufige Aufnahme aufgehoben, wenn die weggewiesene Person zu einer längerfristigen Freiheitsstrafe im In- oder Ausland verurteilt wurde oder wenn gegen sie eine strafrechtliche Massnahme im Sinne von Art. 64 oder 61 StGB angeordnet wurde (Bst. a), wenn sie erheblich oder wiederholt gegen die öffentliche Sicherheit und Ordnung in der Schweiz oder im Ausland verstossen hat oder diese gefährdet oder die innere oder äussere Sicherheit gefährdet (Bst. b), oder wenn sie die Unmöglichkeit des Vollzugs der Wegweisung durch ihr eigenes Verhalten verursacht hat (Bst. c).</w:t>
      </w:r>
    </w:p>
    <w:p>
      <w:r>
        <w:rPr>
          <w:b/>
        </w:rPr>
        <w:t>E. 3.1</w:t>
      </w:r>
    </w:p>
    <w:p>
      <w:r>
        <w:t>Das BFM stützt seinen Entscheid auf die Bestimmung von Art. 84 Abs. 3 i.V.m. Art. 83 Abs. 7 b AuG, welcher Aufhebungsgrund namentlich voraussetzt, dass eine Person erheblich oder wiederholt gegen die öffentliche Sicherheit und Ordnung in der Schweiz oder im Ausland verstossen hat oder diese gefährdet. Aus diesem Wortlaut ergibt sich, dass nicht jeder Verstoss gegen die gesetzliche Ordnung zur Aufhebung der vorläufigen Aufnahme führt, es bedarf vielmehr einer gewissen Intensität. Somit genügt es nicht, wenn die kriminellen Handlungen der betreffenden Person den Schluss zulassen, dass diese nicht gewillt oder nicht fähig ist, sich an die elementaren gesellschaftlichen Regeln des Zusammenlebens zu halten. Vielmehr müssen diese Handlungen eine schwerwiegende Gefährdung oder Verletzung der öffentlichen Sicherheit und Ordnung darstellen. Die Verurteilung zu einer bedingten Freiheitsstrafe lässt beispiels-weise in der Regel nicht auf eine solche schliessen, jedoch kann deren Strafmass oder der Umstand, dass durch das begangene Delikt besonders wertvolle Rechtsgüter betroffen sind, zum gegenteiligen Schluss führen. Auch die wiederholte Deliktsbegehung kann trotz bedingt ausgesprochener Freiheitsstrafe Anhaltspunkte für eine Gefährdung der öffentlichen Sicherheit und Ordnung geben, stellt eine solche doch die vermutete günstige Prognose erheblich in Frage.</w:t>
      </w:r>
    </w:p>
    <w:p>
      <w:r>
        <w:rPr>
          <w:b/>
        </w:rPr>
        <w:t>E. 3.2</w:t>
      </w:r>
    </w:p>
    <w:p>
      <w:r>
        <w:t>Vorliegend ist angesichts der umfangreichen und über einen Zeitraum von nahezu drei Jahren umfassenden Strafakten festzustellen, dass der Beschwerdeführer erheblich und wiederholt gegen die öffentliche Sicherheit und Ordnung in der Schweiz verstossen hat. Zur Vermeidung von Wiederholungen kann vorab vollumfänglich auf die zutreffenden Ausführungen der Vorinstanz in der angefochtenen Verfügung verwiesen werden (vgl. dazu auch Bst. F. vorstehend). Bei den vorstehend erwähnten Straftaten des Beschwerdeführers, welche in der Rechtsmitteleingabe vom 10. September 2012 explizit anerkannt werden, handelt es sich nicht um Bagatelldelikte. Zwar sind einzelne Delikte - insbesondere die Verurteilungen wegen Ungehorsams des Schuld-ners im Betreibungs- und Konkursverfahren oder wegen Benützens eines öffentlichen Verkehrsmittels ohne gültigen Fahrausweis - für sich isoliert betrachtet, nicht als gewichtig zu beurteilen. Sie fügen sich aber in eine lange Reihe von Straftaten ein, was auf eine nicht geringe kriminelle Energie schliessen lässt. So ist der Beschwerdeführer trotz aller Bemühungen der Behörden, ihn zu integrieren, seit rund drei Jahren laufend in Justizverfahren verwickelt gewesen und für sein wiederholt deliktisches Verhalten rechtskräftig verurteilt worden. Die wiederholte Delinquenz macht deutlich, dass er nicht willens oder fähig ist, sich an die in der Schweiz geltende Rechtsordnung zu halten. Es ist zudem festzustellen, dass der Beschwerdeführer auch besonders wertvolle Rechtsgüter wie Leib und Leben verletzt hat. Insbesondere die jüngsten - zwar noch nicht rechtskräftig erledigten, jedoch vom Beschwerdeführer nicht bestrittenen - Verzeigungen wegen Sachbeschädigung (mutwilliges Beschädigen eines Personenwagens durch mehrfaches Einschlagen von Fahrzeugscheiben mit einer Aluminiumstange), begangen am 13. April 2012, und wegen Diebstahls und vorsätzlicher schwerer Körperverletzung, begangen am 3. Juni 2012, lassen auf eine zunehmende Gewaltbereitschaft gegenüber Drittpersonen schliessen. Entsprechend wurde der Beschwerdeführer am 6. Juni 2012 fest- und in Untersuchungshaft genommen; aktuell befindet er sich in Sicherheitshaft.</w:t>
      </w:r>
    </w:p>
    <w:p>
      <w:r>
        <w:rPr>
          <w:b/>
        </w:rPr>
        <w:t>E. 3.3</w:t>
      </w:r>
    </w:p>
    <w:p>
      <w:r>
        <w:t>Das Bundesverwaltungsgericht kommt zum Schluss, dass der Beschwerdeführer durch sein Verhalten die öffentliche Sicherheit und Ordnung im Sinne von Art 83 Abs. 7 Bst. b AuG wiederholt in schwerwiegender Weise verletzt hat und die Delinquenz die zur Aufhebung der vorläufigen Aufnahme erforderliche Intensität erreicht.</w:t>
      </w:r>
    </w:p>
    <w:p>
      <w:r>
        <w:rPr>
          <w:b/>
        </w:rPr>
        <w:t>E. 3.4</w:t>
      </w:r>
    </w:p>
    <w:p>
      <w:r>
        <w:t>Ausgangspunkt der im weiteren durchzuführenden Prüfung ist die Praxis der ehemaligen ARK, wonach die Ausschlussklausel von Art. 14a Abs. 6 ANAG mit Zurückhaltung und insbesondere unter Beachtung des Verhältnismässigkeitsprinzips - das einen allgemeinen Grundsatz staatlichen Handelns bildet, vgl. Art. 5 Abs. 2 der Bundesverfassung der Schweizerischen Eidgenossenschaft vom 18. April 1999 [BV, SR 101]) - anzuwenden ist (Entscheidungen und Mitteilungen der ARK [EMARK] 2003 Nr. 3 E. 3a). Auch nach neuerer Praxis zu Art. 14a Abs. 6 ANAG ist zu prüfen, ob das öffentliche Interesse am Vollzug der Wegweisung die persönlichen Interessen des Beschwerdeführers am Verbleib in der Schweiz zu überwiegen vermag (vgl. BVGE 2007/32). Mit der Einführung des AuG wurde Art. 14a Abs. 6 ANAG durch den vergleichbar ausgestalteten Art. 83 Abs. 7 AuG ersetzt, weshalb die vorstehend aufgezeigte Praxis weiterzuführen ist. Die genannte Norm ist als "Kann"-Bestimmung formuliert, was bedeutet, dass die Aufhebung der vorläufigen Aufnahme fakultativ ist und der Feststellung von Aufhebungsgründen im Sinne von Art. 84 Abs. 3 AuG i.V.m. Art. 83 Abs. 7 AuG in jedem Fall eine sorgfältige behördliche Interessenabwägung folgen muss (Art. 96 Abs. 1 AuG; Peter Bolzli, in Marc Spescha/Hanspeter Thür/An-dreas Zünd/Peter Bolzli, Kommentar Migrationsrecht, Zürich 2008, N. 6 zu Art. 84 AuG und N. 23 zu Art. 83 AuG). Daraus ergibt sich, dass bei der Beurteilung der Verhältnismässigkeit nicht von einer schematischen Betrachtungsweise auszugehen, sondern auf die gesamten Umstände des Einzelfalles abzustellen ist. Zu berücksichtigen sind insbesondere die Art der verletzten Rechtsgüter und die Schwere des Verschuldens. Steht nicht der Ausschluss von der vorläufigen Aufnahme, sondern die Aufhebung derselben zur Diskussion, wird auf Seiten des Ausländers im Rahmen der Interessenabwägung namentlich der Dauer der Anwesenheit in der Schweiz sowie den mit dem Vollzug der Wegweisung allenfalls verbundenen persönlichen und familiären Nachteilen ein relativ hoher Stellenwert beizumessen sein (vgl. zum Ganzen BVGE 2007/32 E. 3 S. 386 ff.; EMARK 2006 Nr. 23 E. 8.3 S. 247 ff.). Zugunsten des Beschwerdeführers fällt seine lange Aufenthaltsdauer in der Schweiz ins Gewicht. Er hält sich seit dem 28. Juni 2002 - mithin seit 10 Jahren - in der Schweiz auf. Weiter ist zu seinen Gunsten zu gewichten, dass er im Alter von knapp (...) Jahren seine Heimat verlassen und damit einen Grossteil seines bisherigen Lebens in der Schweiz verbracht hat. Indessen ergeben sich aufgrund der Akten keinerlei Anhaltspunkte für eine entsprechende Integration respektive für eine gewisse Bindung des Beschwerdeführers an die Schweiz. Er hat seine Berufslehre abgebrochen, alle Stellenbemühungen - mit und ohne Hilfe des zuständigen Sozialdienstes - führten zu keinem Erfolg. Eine berufliche Integration über D._______ wurde abgebrochen, da er nicht regelmässig am Programm teilnahm. Es kann diesbezüglich auf die schriftliche Auskunft des C._______ vom 28. September 2011 verwiesen werden. Vor diesem Hintergrund vermögen die Beteuerungen in der Rechtsmitteleingabe, wonach der Beschwerdeführer gewillt sei, nach seinem Gefängnisaufenthalt möglichst rasch Arbeit zu finden und wieder ein geregeltes Leben zu führen, nicht zu überzeugen. Gemäss Schreiben des C._______ vom 28. September 2011 hat der Beschwerdeführer in der Schweiz keine Familie und seine Verwandten haben sich von ihm abgewendet, nachdem er ihnen viele Schwierigkeiten bereitet hat. Die Ausführungen in der Beschwerdeschrift, wonach er wieder Kontakt zu seinen Verwandten in der Schweiz habe, diese seien bereits auf Arbeitssuche für ihn und würden ihn regelmässig im Gefängnis besuchen, es liege ihnen viel an seinem Verbleib in der Schweiz und sie würden ihn nach seinem Gefängnisaufenthalt wieder bei sich wohnen lassen, finden keine Entsprechung in den Verfahrensakten und sind vom Beschwerdeführer durch nichts belegt worden. Insbesondere hat er keine Stellenbemühungen und auch keine entsprechende Bestätigungsschreiben seiner Verwandten zu den Akten gereicht, was aufgrund der vorstehenden Beteuerung ohne weiteres zu erwarten wäre. Der Beschwerdeführer lässt in der Rechtsmitteleingabe weiter ausführen, er leugne seine zahlreichen Straftaten nicht und bereue das Geschehene zutiefst. Er werde für den angerichteten Schaden aufkommen und tätige Reue zeigen. Er wisse, dass er sich ändern müsse und sich nichts mehr zuschulden lassen kommen dürfe. Die Straftaten seien allesamt unter massivem Alkoholeinfluss verübt worden und er sei gewillt, von dieser Abhängigkeit loszukommen. Er wolle sich in professionelle Behandlung begeben. Gemäss den verschiedenen Polizeiberichten mag es zutreffen, dass die Ursache des Fehlverhaltens des Beschwerdeführers im übermässigen Alkoholkonsum begründet ist. Es fehlen jedoch Tatbeweise für die Besserungsbeteuerungen des Beschwerdeführers. Nachdem er dem Gericht weder über eine zwischenzeitlich allenfalls in Angriff genommene Behandlung seines Alkoholproblems berichtet noch entsprechende Beweismittel eingereicht hat, wozu er gemäss Art. 90 AuG verpflichtet wäre, kann ihm keine günstige Prognose betreffend seinen Alkoholkonsum gestellt werden. Nach dem Ausgeführten ist nicht davon auszugehen, dass der Beschwerdeführer bei einem Wegweisungsvollzug aus einem engen Beziehungsumfeld gegenseitigen Respekts und Vertrauens herausgerissen würde. Die Ausführungen des BFM in der angefochtenen Verfügung, bekanntlich seien Tamilen in der Schweiz unter sich gut organisiert und würden viel Wert auf die Bewahrung und Pflege ihrer Kultur legen, deckt sich mit den Strafakten. Diesen zufolge hat sich der Beschwerdeführer offensichtlich mehrheitlich in einem sri-lankischen Umfeld bewegt. Das Gericht geht deshalb ebenso wie die Vorinstanz davon aus, dass der Beschwerdeführer mit der Sprache und den Gepflogenheiten seines Heimatlandes vertraut ist. Diese Schlussfolgerung wurde in der Rechtsmittelschrift im Übrigen auch nicht bestritten. Dem Einwand, der Beschwerdeführer verfüge in Sri Lanka über keinerlei Kontakte, ist entgegenzuhalten, dass er dort über Anknüpfungspunkte (seine Grossmutter und Tante, beide im Distrikt Trincomalee) beziehungsweise über deren Familien verfügt und es ihm als jungen, gesunden Mann vor obigem Hintergrund trotz längerer Landesabwesenheit möglich sein sollte, sich im neuen Umfeld zu integrieren und sich eine wirtschaftliche Existenzgrundlage zu schaffen; dass damit grössere Probleme verbunden sein können, wird vom Gericht nicht verkannt, ist indessen vom Beschwerdeführer zu verantworten, der in der Schweiz alle behördlichen Bemühungen zu seiner Integration vereitelte. Die Tatsache, dass der Beschwerdeführer rechtskräftig zu mehreren Strafen verurteilt wurde und zudem wiederholt und in erheblichem Masse gegen die öffentliche Sicherheit und Ordnung verstossen hat, lässt das öffentliche Interesse am Wegweisungsvollzug und somit an der Aufhebung der vorläufigen Aufnahme gewichtig erscheinen. Die gesetzlichen Gründe für den Ausschluss respektive die Aufhebung einer vorläufigen Aufnahme erfüllen auch präventive Schutzinteressen; sie sind nicht nur darauf ausgerichtet, vergangene Straftaten zu sanktionieren, sondern wollen auch die Öffentlichkeit vor künftigen Delikten des Ausländers bewahren (vgl. Bolzli, a.a.O., N. 22 zu Art. 83 Abs. 7 Bst. a und b AuG). Entsprechend den Ausführungen unter Erwägung 3.2 hiervor kann von einer Stabilisierung des Verhaltens des Beschwerdeführers nicht die Rede sein. In Anbetracht seiner seit bald drei Jahren laufenden Delinquenz, bei welcher auch besonders wertvolle Rechtsgüter verletzt worden sind, und der insbesondere aufgrund der jüngsten Delikte festzustellenden Zunahme an Gewaltbereitschaft gegenüber Drittpersonen wie auch mangels Hinweisen auf Umsetzung seiner Besserungsbeteuerungen kann ihm insgesamt keine gute Prognose gestellt werden, die Gefahr neuerlicher Delikte für die nähere Zukunft kann nicht ausgeschlossen werden.</w:t>
      </w:r>
    </w:p>
    <w:p>
      <w:r>
        <w:rPr>
          <w:b/>
        </w:rPr>
        <w:t>E. 3.5</w:t>
      </w:r>
    </w:p>
    <w:p>
      <w:r>
        <w:t>Angesichts dieser Sachlage erübrigt sich eine Auseinandersetzung mit den weiteren Beschwerdevorbringen, weil diese nicht geeignet sind, zu einer anderen Beurteilung zu gelangen. Es bestehen hinreichend konkrete Anhaltspunkte dafür, dass der Beschwerdeführer auch in Zukunft die öffentliche Sicherheit und Ordnung gefährden wird. Das öffentliche Interesse am Vollzug der Wegweisung überwiegt somit das private Interesse des Beschwerdeführers an einem weiteren Verbleib in der Schweiz klar. Der Wegweisungsvollzug erweist sich als verhältnismässig.</w:t>
      </w:r>
    </w:p>
    <w:p>
      <w:r>
        <w:rPr>
          <w:b/>
        </w:rPr>
        <w:t>E. 4</w:t>
      </w:r>
    </w:p>
    <w:p>
      <w:r>
        <w:t>Es bleibt zu prüfen, ob der Vollzug der Wegweisung durchführbar ist.</w:t>
      </w:r>
    </w:p>
    <w:p>
      <w:r>
        <w:rPr>
          <w:b/>
        </w:rPr>
        <w:t>E. 4.1</w:t>
      </w:r>
    </w:p>
    <w:p>
      <w:r>
        <w:t>Mit Verfügung des BFF vom 15. Januar 2003 wurde rechtskräftig festgestellt, dass der Beschwerdeführer die Flüchtlingseigenschaft nicht erfüllt. Daher kann das in Art. 5 AsylG verankerte Prinzip des flüchtlingsrechtlichen Nonrefoulements im vorliegenden Verfahren keine Anwendung finden. Sodann ergeben sich aus den Ausführungen des Beschwerdeführers und den übrigen Akten keine glaubhaften Hinweise auf eine menschenrechtswidrige Behandlung (vgl. Art. 3 der Konvention vom 4. November 1950 zum Schutze der Menschenrechte und Grundfreiheiten [EMRK, SR 0.101]), die ihm in Sri Lanka drohen könnte. Der Vollzug der Wegweisung erweist sich deshalb als zulässig.</w:t>
      </w:r>
    </w:p>
    <w:p>
      <w:r>
        <w:rPr>
          <w:b/>
        </w:rPr>
        <w:t>E. 4.2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Dieser Vorbehalt ist vorliegend erfüllt, weshalb es sich erübrigt, die materiellen Zumutbarkeitsvoraussetzungen zu prüfen und beispielsweise auf die aktuelle politische und humanitäre Lage in Sri Lanka oder auf Zumutbarkeitserschwernisse individueller Art einzugehen.</w:t>
      </w:r>
    </w:p>
    <w:p>
      <w:r>
        <w:rPr>
          <w:b/>
        </w:rPr>
        <w:t>E. 4.3</w:t>
      </w:r>
    </w:p>
    <w:p>
      <w:r>
        <w:t>Es obliegt dem Beschwerdeführer, sich bei der zuständigen Vertretung des Heimatstaates die für eine Rückkehr notwendigen Reisedokumente zu beschaffen (Art. 8 Abs. 4 AsylG), weshalb der Vollzug der Wegweisung als möglich zu bezeichnen ist (Art. 83 Abs. 2 AuG). 5.Aus diesen Erwägungen ergibt sich, dass die angefochtene Verfügung Bundesrecht nicht verletzt, den rechtserheblichen Sachverhalt richtig und vollständig feststellt und angemessen ist. Die Beschwerde ist nach dem Gesagten abzuweisen. 6.Bei diesem Ausgang des Verfahrens wären die Kosten (Art. 1-3 des Reglements vom 21. Februar 2008 über die Kosten und Entschädigungen vor dem Bundesverwaltungsgericht [VGKE, SR 173.320.2]) dem Beschwerdeführer aufzuerlegen (Art. 63 Abs. 1 VwVG). Nachdem aber von dessen Bedürftigkeit auszugehen ist und die Beschwerde nicht als aussichtslos bezeichnet werden konnte, ist in Gutheissung des Gesuchs um Gewährung der unentgeltlichen Rechtspflege im Sinne von Art. 65 Abs. 1 VwVG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