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E-4696/2009 vom 1. März 2012</w:t>
      </w:r>
    </w:p>
    <w:p>
      <w:r>
        <w:t>Bundesverwaltungsgericht, 2012-03-01, DE</w:t>
      </w:r>
    </w:p>
    <w:p>
      <w:r>
        <w:rPr>
          <w:b/>
        </w:rPr>
        <w:t xml:space="preserve">Quelle: </w:t>
      </w:r>
      <w:r>
        <w:t>https://mcp.opencaselaw.ch/entscheid/bvger_E-4696_2009</w:t>
      </w:r>
    </w:p>
    <w:p>
      <w:r>
        <w:t>FR: TAF E-4696/2009 du 1 mars 2012</w:t>
      </w:r>
    </w:p>
    <w:p>
      <w:r>
        <w:t>IT: TAF E-4696/2009 del 1 marzo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in der Verfügung vom 5. August 2009 festgestellt, sind die Ziffern 1, 2 und 3 des Dispositivs der vorinstanzlichen Verfügung mangels Anfechtung in Rechtskraft erwachsen. Die Beschwerde richtet sich daher einzig gegen den Vollzug der Wegweisung. Gegenstand des vorliegenden Verfahrens bildet somit ausschliesslich die Prüfung der Frage, ob das Bundesamt den Vollzug der Wegweisung zu Recht als zulässig, zumutbar und möglich erklärt hat.</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w:t>
      </w:r>
    </w:p>
    <w:p>
      <w:r>
        <w:t>Der Vollzug ist nicht zulässig, wenn völkerrechtliche Verpflichtungen der Schweiz einer Weiterreise der Ausländerin oder des Ausländers in den Heimat-, Herkunfts- oder einen Drittstaat entgegenstehen (Art. 83 Abs. 3 AuG).</w:t>
      </w:r>
    </w:p>
    <w:p>
      <w:r>
        <w:rPr>
          <w:b/>
        </w:rPr>
        <w:t>E. 5.1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w:t>
      </w:r>
    </w:p>
    <w:p>
      <w:r>
        <w:t>Die Vorinstanz hat in der angefochtenen Verfügung zutreffend darauf hingewiesen,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 06, §§ 124-127, mit weiteren Hinweisen). Auch die allgemeine Menschenrechtssituation im kurdischen Nordirak, woher der Beschwerdeführer nach dem oben Gesagten stammt, lässt den Wegweisungsvollzug zum heutigen Zeitpunkt nicht als unzulässig erscheinen (vgl. BVGE 2008/4 E. 6.2 ff.).</w:t>
      </w:r>
    </w:p>
    <w:p>
      <w:r>
        <w:rPr>
          <w:b/>
        </w:rPr>
        <w:t>E. 5.3</w:t>
      </w:r>
    </w:p>
    <w:p>
      <w:r>
        <w:t>Der Vollzug der Wegweisung erweist sich im Sinn der asyl- wie auch der völkerrechtlichen Bestimmungen als zulässig.</w:t>
      </w:r>
    </w:p>
    <w:p>
      <w:r>
        <w:rPr>
          <w:b/>
        </w:rPr>
        <w:t>E. 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6.1</w:t>
      </w:r>
    </w:p>
    <w:p>
      <w:r>
        <w:t>Das Bundesverwaltungsgericht geht gemäss seiner Praxis davon aus, dass in den drei kurdischen Provinzen Dohuk, Erbil und Suleimaniya heute keine Situation allgemeiner Ge­walt herrscht und die dortige po­li­ti­sche Lage nicht dermassen an­gespannt ist, dass eine Rückführung dort­hin generell als unzumutbar be­trachtet wer­den müsste (vgl. BVGE 2008/5 E. 7.5 S. 65 ff.). Zusammenfas­send wird im zitierten Leit­entscheid festgehalten,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(vgl. a.a.O., E. 7.5.8). Die Sicherheitslage in den drei kurdischen Provinzen hat sich seit Publikation des erwähnten Urteils nicht verschlechtert; in Berichten von nationalen und internationalen Regierungs- und Nichtregierungsorganisa­tionen wird eine grundsätzlich insgesamt stabile Situation beschrieben (vgl. etwa UK Home Office / Border Agency, Operational Guidance Note Iraq, November 2011, Ziff. 2.3.10 ff., mit weiteren Hinweisen).</w:t>
      </w:r>
    </w:p>
    <w:p>
      <w:r>
        <w:rPr>
          <w:b/>
        </w:rPr>
        <w:t>E. 6.2</w:t>
      </w:r>
    </w:p>
    <w:p>
      <w:r>
        <w:t>Der Beschwerdeführer stammt zwar ursprünglich aus Mosul und nicht aus einer der drei kurdisch dominierten Provinzen Dohuk, Erbil und Suleimaniya im Norden Iraks. Indessen verfügt er als Kurde aufgrund besonderer persönlicher Beziehungen zur Provinz Dohuk dort grundsätzlich über eine valable innerstaatliche Aufenthaltsalternative. Das BFM hat den Vollzug der Wegweisung mit überzeugender Begründung auch als individuell zumutbar bezeichnet (vgl. angefochtene Verfügung S. 4).</w:t>
      </w:r>
    </w:p>
    <w:p>
      <w:r>
        <w:rPr>
          <w:b/>
        </w:rPr>
        <w:t>E. 6.3</w:t>
      </w:r>
    </w:p>
    <w:p>
      <w:r>
        <w:t>An dieser Feststellung vermögen die in der Beschwerde aufgelisteten Argumente gegen die Zumutbarkeit (vgl. Beschwerde S. 3 f.) nichts zu ändern. Diese Einwände - Lebensmittelpunkt stets in Mosul; Aufenthalt in der Kurdenregion vor den grossen Flüchtlingsströmen nach dem Sturz des Saddam-Regimes; zwischen 2005 und 2007 kein eigentlicher Aufenthalt, sondern Wochenaufenthalter (im Hotel) in der Provinz Dohuk; berufliche Tätigkeit im Hotel nur unqualifizierte Niedriglohnarbeit; mit (...) Primarschuljahren nur geringer Bildungsgrad; Verwandte in der Provinz Dohuk nicht in der Lage, Unterstützung zu gewähren oder eine existenzsichernde Arbeitsstelle zu vermitteln; Unsicherheit der Genehmigung des dauerhaften Aufenthalts durch die Behörden der Kurdenregion - sind auch nicht geeignet, die Kernaussagen des erwähnten Leitentscheids in Frage zu stellen.</w:t>
      </w:r>
    </w:p>
    <w:p>
      <w:r>
        <w:rPr>
          <w:b/>
        </w:rPr>
        <w:t>E. 6.4</w:t>
      </w:r>
    </w:p>
    <w:p>
      <w:r>
        <w:t>Der Beschwerdeführer ist ein junger Mann ohne familiäre Verpflich­tun­gen sowie ohne aktenkundige gesundheitliche Probleme. Er ist kur­discher Ethnie und Sprache und verfügt in der Provinz Dohuk über ein familiäres Beziehungsnetz. Dort leben (...) Schwestern, (...) Onkel (...) und (...) Tanten (vgl. EVZ-Protokoll S. 3 und Protokoll der Anhörung zu den Asylgründen S. 3). Aufgrund seiner mehrjährigen Erwerbstätigkeit in einem Hotel in dieser Region (vgl. EVZ-Protokoll S. 2) dürfte er auch über weitere soziale Anknüpfungspunkte verfügen. Unter diesen Umständen kann davon ausgegangen werden, dass der Beschwerdeführer nach seiner Rück­kehr in den Nordirak - auch gestützt auf seine Auslanderfahrung - in der Lage sein wird, sich wiederum eine trag­fähi­ge Existenz aufzu­bauen.</w:t>
      </w:r>
    </w:p>
    <w:p>
      <w:r>
        <w:rPr>
          <w:b/>
        </w:rPr>
        <w:t>E. 6.5</w:t>
      </w:r>
    </w:p>
    <w:p>
      <w:r>
        <w:t>Die Rüge der unvollständigen Erhebung des rechtserheblichen Sachverhalts erweist sich als unberechtigt, nachdem die protokollierten Aussagen des Beschwerdeführers einen sicheren Entscheid auch über die Frage der Zumutbarkeit des Vollzugs zulassen.</w:t>
      </w:r>
    </w:p>
    <w:p>
      <w:r>
        <w:rPr>
          <w:b/>
        </w:rPr>
        <w:t>E. 6.6</w:t>
      </w:r>
    </w:p>
    <w:p>
      <w:r>
        <w:t>Nach dem Gesagten erweist sich der Vollzug der Wegweisung als zumutbar.</w:t>
      </w:r>
    </w:p>
    <w:p>
      <w:r>
        <w:rPr>
          <w:b/>
        </w:rPr>
        <w:t>E. 7</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w:t>
      </w:r>
    </w:p>
    <w:p>
      <w:r>
        <w:t>Zusammengefasst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Dem in der Beschwerde gestellten Gesuch um Gewährung der unentgeltlichen Rechtspflege gemäss Art. 65 Abs. 1 VwVG kann nicht entsprochen werden: Der Beschwerdeführer ist seit längere Zeit in der Schweiz erwerbstätig und kann deshalb praxisgemäss nicht als bedürftig im Sinn von Art. 65 Abs. 1 VwVG bezeichnet werden. Das Gesuch ist deshalb abzuweisen und die Verfahrenskosten von insgesamt Fr. 600.- sind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