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E-4678/2009 vom 31. Januar 2012</w:t>
      </w:r>
    </w:p>
    <w:p>
      <w:r>
        <w:t>Bundesverwaltungsgericht, 2012-01-31, DE</w:t>
      </w:r>
    </w:p>
    <w:p>
      <w:r>
        <w:rPr>
          <w:b/>
        </w:rPr>
        <w:t xml:space="preserve">Quelle: </w:t>
      </w:r>
      <w:r>
        <w:t>https://mcp.opencaselaw.ch/entscheid/bvger_E-4678_2009</w:t>
      </w:r>
    </w:p>
    <w:p>
      <w:r>
        <w:t>FR: TAF E-4678/2009 du 31 janvier 2012</w:t>
      </w:r>
    </w:p>
    <w:p>
      <w:r>
        <w:t>IT: TAF E-4678/2009 del 31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macht der Beschwerdeführer zusammenfassend geltend, seine Vorbringen entsprächen den Anforderungen sowohl von Art. 7 AsylG als auch von Art. 3 AsylG (vgl. Beschwerde S. 3 ff. und 10). Im Einzelnen bringt er vor, die Ausführungen des BFM betreffend seine Festnahme vom (...) 2009 seien unzutreffend (vgl. Beschwerde S. 4 ff.). Der Beschwerdeführer habe genau geschildert, wie er festgenommen und auf den Posten von D._______ gebracht worden sei, was einer typischen Vorgehensweise der Özel Tim (Sondereinheiten der türkischen Sicherheitskräfte) entspreche, vor allem, wenn jemand im Zusammenhang mit Öcalan respektive der PKK festgenommen werde. Wäre der Beschwerdeführer durch die Behandlung nicht ohnmächtig geworden, wäre er sicher noch verhört worden; zudem habe ihn ja seine Familie schon am nächsten Morgen durch Bestechung frei bekommen. Er habe sowohl die Festnahme als auch die Zeit auf dem Posten genau geschildert, sei dort allerdings fast die ganze Nacht bewusstlos gewesen (vgl. Beschwerde S. 5 f.). Mit Bezug auf die telefonischen Drohungen sowie die Beschiessung beim Verlassen des DTP-Vereinslokals in F._______ 2008 macht der Beschwerdeführer geltend, seine Angaben seien entgegen den Behauptungen des BFM weder widersprüchlich noch unglaubhaft (vgl. Beschwerde S. 6 ff.). Ferner macht der Beschwerdeführer geltend, die Ansicht des BFM, die vor 2007 erlittenen Benachteiligungen und Verfolgungen lägen zeitlich zu weit zurück und seien deshalb flüchtlingsrechtlich nicht relevant, sei unzutreffend (vgl. Beschwerde S. 9 f.). Schliesslich sei auch nicht der Militärdienst, sondern die politische Verfolgung der eigentliche Grund für seine Flucht aus der Türkei gewesen (vgl. Beschwerde S. 10).</w:t>
      </w:r>
    </w:p>
    <w:p>
      <w:r>
        <w:rPr>
          <w:b/>
        </w:rPr>
        <w:t>E. 4.2</w:t>
      </w:r>
    </w:p>
    <w:p>
      <w:r>
        <w:t>Nach Durchsicht der Akten, insbesondere der Befragungsprotokolle des Beschwerdeführers, kommt das Bundesverwaltungsgericht zum Schluss, dass die angefochtene Verfügung und ihre Begründung einer Prüfung standhalten. Die den Akten zu entnehmenden klaren Unglaubhaftigkeitsindizien hat das BFM grundsätzlich korrekt erkannt und in seinen Erwägungen zutreffend gewürdigt (vgl. angefochtene Verfügung S. 3). Zu Recht hat das BFM auch die zeitlich vor 2007 anzusiedelnden Vorkommnisse als asylrechtlich unerheblich qualifiziert. Die Einwände in der Beschwerde führen insgesamt nicht zu anderen Schlussfolgerungen.</w:t>
      </w:r>
    </w:p>
    <w:p>
      <w:r>
        <w:rPr>
          <w:b/>
        </w:rPr>
        <w:t>E. 4.2.1</w:t>
      </w:r>
    </w:p>
    <w:p>
      <w:r>
        <w:t>Das Bundesverwaltungsgericht teilt insbesondere die Auffassung der Vorinstanz, dass die vorgebrachte Festnahme und das Festhalten auf dem Posten von D._______ insgesamt einen deutlichen Mangel an so genannten Realkennzeichen aufweist. Die protokollierten Vorbringen hinterlassen einen unsubstanziierten, teilweise lebensfremden und insgesamt konstruierten Eindruck. Diesen vermögen weder die Einwendungen des Beschwerdeführers (vgl. Beschwerde S. 5) noch der Internet-Ausdruck vom 20. Juli 2009 über einen Vorfall in E._______, in dem der Beschwerdeführer nicht erwähnt wird, etwas zu ändern. Abschliessend bleibt festzuhalten, dass der Beschwerdeführer von den türkischen Behörden mit Sicherheit nicht bereits nach kurzer Zeit - und vor einer Befragung - aufgrund von Bestechung freigelassen worden wäre, wenn er tatsächlich während der Protestkundgebung von E._______ speziell aufgefallen und somit von besonderem behördlichen Interesse gewesen wäre.</w:t>
      </w:r>
    </w:p>
    <w:p>
      <w:r>
        <w:rPr>
          <w:b/>
        </w:rPr>
        <w:t>E. 4.2.2</w:t>
      </w:r>
    </w:p>
    <w:p>
      <w:r>
        <w:t>Was die angeblich andauernden telefonischen Drohungen anbelangt (vgl. Beschwerde S. 6 ff.), ist festzuhalten, dass dieses zentrale Sachverhaltselement bei der Erstbefragung im EVZ gemäss Protokoll mit keinem Wort erwähnt (vgl. EVZ-Protokoll S. 6 f.), sondern erst bei der einlässlichen BFM-Anhörung erstmals vorgebracht wurde (vgl. BFM-Protokoll S. 8 f.). Angesichts des summarischen Charakters der Befragung in der Empfangsstelle (heute Empfangs- und Verfahrenszentrum) kommt den Aussagen zu den Ausreisegründen für die Beurteilung von deren Glaubhaftigkeit zwar nur beschränkter Beweiswert zu, indessen sind bestimmte Ereignisse, welche später als zentrale Asylgründe genannt werden, bereits in der Empfangsstelle zumindest ansatzweise zu erwähnen (vgl. dazu ausführlich Entscheidungen und Mitteilungen der Schweizerischen Asylrekurskommission [EMARK] 1993 Nr. 3 E. 3 S. 13 f.). Der Einwand des Beschwerdeführers, man habe ihm in der EVZ angeblich gesagt, er solle kein Details erzählen (vgl. BFM-Protokoll S. 8), ist schon deshalb unbehelflich, weil er gegen Ende der EVZ-Befragung explizit nach anderen Gründen für das Verlassen des Landes gefragt wurde, was er ausdrücklich verneinte (vgl. EVZ-Protokoll S. 7). Zu Recht hat deshalb das BFM auch diese Drohanrufe als unglaubhaft bezeichnet.</w:t>
      </w:r>
    </w:p>
    <w:p>
      <w:r>
        <w:rPr>
          <w:b/>
        </w:rPr>
        <w:t>E. 4.2.3</w:t>
      </w:r>
    </w:p>
    <w:p>
      <w:r>
        <w:t>Angesichts der insgesamt wenig substanziierten Angaben des Beschwerdeführers, beispielsweise auch zu seinen angeblichen Verfolgern (vgl. BFM-Protokoll S. 5 f.), erscheint auch das angebliche Vorkommnis von 2008 - die beim Verlassen des DTP-Vereinslokals in F._______ auf ihn abgegebenen Schüsse - als unglaubhaft; dies umso mehr als eine solche Verfolgungshandlung im konkreten Länderkontext in keinem nachvollziehbaren Verhältnis zum geringen politischen Engagement des Beschwerdeführers gestanden wäre und dessen geringer Exponierungsgrad kaum das behauptete Verfolgungsinteresse ausgelöst hätte.</w:t>
      </w:r>
    </w:p>
    <w:p>
      <w:r>
        <w:rPr>
          <w:b/>
        </w:rPr>
        <w:t>E. 4.2.4</w:t>
      </w:r>
    </w:p>
    <w:p>
      <w:r>
        <w:t>Soweit der Beschwerdeführer für die Zeit ab Ende der 1990er-Jahre Verfolgungshandlungen geltend macht, besteht - wie das BFM zu Recht festgestellt hat (vgl. angefochtene Verfügung S.4) - offensichtlich kein zeitlicher und sachlicher Zusammenhang zu der erst Ende Mai 2009 erfolgten Ausreise aus dem Heimatstaat. Die Frage der Glaubhaftigkeit dieser Vorbringen kann deshalb offen bleiben.</w:t>
      </w:r>
    </w:p>
    <w:p>
      <w:r>
        <w:rPr>
          <w:b/>
        </w:rPr>
        <w:t>E. 4.3</w:t>
      </w:r>
    </w:p>
    <w:p>
      <w:r>
        <w:t>Schliesslich ist davon Kenntnis zu nehmen, dass der Beschwerdeführer ausdrücklich geltend macht, sein Unwille, in der Türkischen Armee Dienst zu leisten, sei nicht der Grund für die Ausreise gewesen (vgl. Beschwerde S. 10).</w:t>
      </w:r>
    </w:p>
    <w:p>
      <w:r>
        <w:rPr>
          <w:b/>
        </w:rPr>
        <w:t>E. 4.4</w:t>
      </w:r>
    </w:p>
    <w:p>
      <w:r>
        <w:t>Soweit der Beschwerdeführer bei seiner Summarbefragung eine in der Schweiz als Flüchtling anerkannte Schwester erwähnt hat, ist nach Beizug und Durchsicht der betreffenden Asylakten (N (...)) Folgendes festzustellen: Die Angehörige hatte in der Schweiz am 30. September 2004 um Asyl nachgesucht. Mit (unangefochten gebliebener) Verfügung vom 15. Dezember 2004 wurde vom damaligen Bundesamt für Flüchtlinge (BFF, heute: BFM) festgestellt, dass sie die originäre Flüchtlingseigenschaft gemäss Art. 3 AsylG nicht aufweist; sie wurde jedoch in Anwendung von Art. 51 Abs. 1 AsylG in die Flüchtlingseigenschaft ihres Ehemanns eingeschlossen. Zu Beginn des Jahres 2010 verzichtete die Schwester auf ihre Flüchtlingseigenschaft, worauf das Erlöschen des Asyls festgestellt wurde. Aufgrund der Akten kann ausgeschlossen werden, dass der Beschwerdeführer in der Türkei mit Bezug auf seine Schwester (oder deren Ehemann) einer so genannten Anschlussverfolgung ausgesetzt wäre.</w:t>
      </w:r>
    </w:p>
    <w:p>
      <w:r>
        <w:rPr>
          <w:b/>
        </w:rPr>
        <w:t>E. 4.5</w:t>
      </w:r>
    </w:p>
    <w:p>
      <w:r>
        <w:t>Nach diesen Erwägungen erübrigt es sich, auf die weiteren Ausführungen in den Eingaben des Beschwerdeführers einzugehen, weil sie am Ergebnis nichts zu ändern vermögen. Zusammenfassend ist festzustellen, dass der Beschwerdeführer keine Gründe nach Art. 3 AsylG nachweisen oder glaubhaft machen konnte. Die Vorinstanz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Eine Situation, welche den Beschwerdeführer als "Gewalt-oder de-facto-Flüchtling" qualifizieren würde, ist aufgrund der heutigen Situation in der Türkei nicht gegeben. Nach dem oben Gesagten ist nicht davon auszugehen, dass er nach der Rückkehr in seinen Heimatstaat einer Gefährdung ausgesetzt wäre. Es steht dem relativ jungen und - soweit den Akten zu entnehmen ist - gesunden Beschwerdeführer offen und ist ihm zuzumuten, sich wieder in der Türkei niederzulassen, wo er auch über ein familiäres Beziehungsnetz (Eltern, Geschwister) verfügt. Angesichts seiner schulischen Ausbildung (Gymnasium mit Abitur-Abschluss, Studien in Fachrichtung (...) [ohne Abschluss]), Erfahrung in der elterlichen Landwirtschaft und Auslanderfahrung wird es ihm möglich sein, sich in der Türkei wieder eine Existenz aufzubauen. In der Beschwerde werden im Übrigen keine besonderen Gründe glaubhaft gemacht, welche sich ernsthaft gegen die Zumutbarkeit der Rückkehr in den Heimatstaat richten würden. Damit erweist sich der Vollzug der Wegweisung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6.7</w:t>
      </w:r>
    </w:p>
    <w:p>
      <w:r>
        <w:t>Zusammenfassend hat die Vorinstanz den Wegweisungsvollzug zu Recht als zulässig, zumutbar und möglich bezeichnet. Damit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