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E-4673/2024 vom 20. Juni 2024</w:t>
      </w:r>
    </w:p>
    <w:p>
      <w:r>
        <w:t>Bundesverwaltungsgericht, 2024-06-20, DE</w:t>
      </w:r>
    </w:p>
    <w:p>
      <w:r>
        <w:rPr>
          <w:b/>
        </w:rPr>
        <w:t xml:space="preserve">Quelle: </w:t>
      </w:r>
      <w:r>
        <w:t>https://mcp.opencaselaw.ch/entscheid/bvger_E-4673_2024_d20240620</w:t>
      </w:r>
    </w:p>
    <w:p>
      <w:r>
        <w:t>FR: TAF E-4673/2024 du 20 juin 2024</w:t>
      </w:r>
    </w:p>
    <w:p>
      <w:r>
        <w:t>IT: TAF E-4673/2024 del 20 giugno 2024</w:t>
      </w:r>
    </w:p>
    <w:p>
      <w:pPr>
        <w:pStyle w:val="Heading2"/>
      </w:pPr>
      <w:r>
        <w:t>Regeste</w:t>
      </w:r>
    </w:p>
    <w:p>
      <w:r>
        <w:t>Asyl und Wegweisung | Asyl und Wegweisung; Verfügung des SEM vom 20.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auch der Kostenvorschuss innert Frist einbezahlt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E-4673/2024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seinen ablehnenden Entscheid im Wesentlichen damit, die Vorbringen der Beschwerdeführenden würden weder den Anfor- derungen an die Glaubhaftigkeit gemäss Art. 7 AsylG noch jenen an die Flüchtlingseigenschaft nach Art. 3 AsylG standhalten. Die Anzeige, aufgrund welcher Ermittlungen wegen Propaganda für eine Terrororganisation gegen den Beschwerdeführer eingeleitet worden seien, datiere vom (…) 2022. Tatsächlich sei diese aber am (…) 2022 eingereicht worden, weshalb die Behauptung des Beschwerdeführers, er sei ungefähr (…) Woche vor seiner Ausreise vom (…) 2022 in seinem Haus gesucht worden, nicht zutreffen könne. Ferner wäre es für ihn kaum möglich gewe- sen, legal mit einem Flugzeug aus der Türkei auszureisen, wenn er tat- sächlich zuvor von der Antiterroreinheit gesucht worden wäre. Sodann habe die Beschwerdeführerin ausgesagt, dass die Hausdurchsuchungen nach der Ausreise ihres Ehemannes begonnen hätten, was seiner Aussage widerspreche, die Razzia vom (…) 2022 sei der Grund für seine Ausreise gewesen. Ausserdem sei nicht nachvollziehbar, dass die Beschwerdefüh- rerin nicht wisse, weshalb ihr Ehemann angeblich von den türkischen Be- hörden gesucht werde, und dass diese sie als Spitzel hätten anwerben wollen. Es sei davon auszugehen, dass die gegen den Beschwerdeführer eröffne- ten Ermittlungen der türkischen Behörden als Asylgrund erst nach seiner legalen Ausreise vom (…) 2022 missbräuchlich konstruiert worden seien, zumal er, wie erwähnt, erst am (…) 2022 angezeigt worden sei. Seine Pro- file auf Social Media (J._______/K._______) seien entweder nicht öffent- lich zugänglich oder nicht erreichbar, weshalb beim relevanten K._______-</w:t>
      </w:r>
    </w:p>
    <w:p>
      <w:r>
        <w:t>E-4673/2024 Seite 7 Konto davon auszugehen sei, dieses sei inzwischen gelöscht worden. Bei bewusst provozierten Ermittlungen komme es häufig vor, dass die Konten geschlossen würden, damit die in der Türkei provozierten Ermittlungen wie- der eingestellt würden. Ausserdem habe der Beschwerdeführer keine be- deutenden politischen Aktivitäten seinerseits nennen können, welche ihn in den Fokus der türkischen Behörden hätten bringen können, und bei den Posts, welche in den verschiedenen eingereichten Untersuchungsberich- ten erwähnt seien, sei das Datum der Veröffentlichung nicht ersichtlich. So- mit sei von einer bewussten Einleitung eines Ermittlungsverfahrens auszu- gehen, um subjektive Nachfluchtgründe zu begründen. Ferner sei in Bezug auf die betreffend die vorgebrachten Ermittlungsver- fahren eingereichten Dokumente darauf hinzuweisen, dass diese über kei- nerlei Sicherheitsmerkmale verfügen würden, weshalb sie grundsätzlich ei- nen geringen Beweiswert aufweisen würden. Vor diesem Hintergrund und aufgrund der Tatsache, dass solche Dokumente in der Türkei problemlos beschafft werden könnten, könne die Frage, ob es sich dabei um echte Verfahrensdokumente handle, offenbleiben. Personen, bei denen wie gemäss den eingereichten Dokumenten beim Be- schwerdeführer ein Vorführbefehl vorliege, könnten zwar bei der Einreise in die Türkei angehalten und zwecks Einvernahme der Staatsanwaltschaft zugeführt werden, doch in einem Verfahren wegen Propaganda zugunsten einer Terrororganisation würden die Person in der Regel wieder freigelas- sen und nicht in Untersuchungshaft versetzt. Ausserdem sei im jetzigen Zeitpunkt völlig offen, ob die Ermittlungen in dieser Sache gegen den Be- schwerdeführer überhaupt zur Eröffnung eines Gerichtsverfahrens oder ei- ner Verurteilung aus einem flüchtlingsrelevanten Motiv führten. Da der Be- schwerdeführer strafrechtlich nicht vorbelastet sei und ein niedriges politi- sches Profil aufweise, sei die Wahrscheinlichkeit – unter Hinweis auf Art. 51 Abs. 1 des türkischen Strafgesetzbuches [tStGB] und Art. 231 Abs. 5 der türkischen Strafprozessordnung [tStPO] – gering, dass er am Ende zu einer unbedingten Freiheitsstrafe verurteilt würde. Hinsichtlich der Schilderungen des Beschwerdeführers, wonach er wieder- holt wegen seiner kurdischen Ethnie von der Polizei beschimpft, geschla- gen und diskriminiert worden sei, hielt das SEM fest, dass diese Vorbringen schon lange zurückliegen würden und gestützt auf die Angaben des Be- schwerdeführers auch kein sachlicher Kausalzusammenhang zu dessen Ausreise bestehen würde. Ausserdem würden die dargelegten Vorfälle in ihrer Intensität nicht über die Nachteile hinausgehen, welche weite Teile</w:t>
      </w:r>
    </w:p>
    <w:p>
      <w:r>
        <w:t>E-4673/2024 Seite 8 der kurdischen Bevölkerung in der Türkei in ähnlicher Weise treffen wür- den. Daher seien diese Behelligungen nicht asylrelevant.</w:t>
      </w:r>
    </w:p>
    <w:p>
      <w:r>
        <w:rPr>
          <w:b/>
        </w:rPr>
        <w:t>E. 5.2</w:t>
      </w:r>
    </w:p>
    <w:p>
      <w:r>
        <w:t>Die Beschwerdeführenden hielten der vorinstanzlichen Argumentation in ihrer Beschwerde im Wesentlichen entgegen, dass die Anzeige vom (…) 2022 tatsächlich an diesem Tag erstattet und das Verfahren wegen Propa- ganda für eine Terrororganisation am (…) 2022 eröffnet worden sei. Auch stimmten die Angaben der Beschwerdeführenden betreffend die erste Raz- zia – entgegen der Behauptung der Vorinstanz – überein, da die Beschwer- deführerin ausdrücklich angegeben habe, dass diese im (…) 2022 stattge- funden habe. Sodann sei der Beschwerdeführer jahrelang für die HDP po- litisch aktiv gewesen. Aufgrund dieses Engagements und seiner kurdi- schen Ethnie sei er seit ungefähr (…) Jahren von der Polizei ständig be- helligt und öfters, wenn auch nur für kurze Zeit, festgenommen worden, was aktenkundig sei. Die ständigen polizeilichen Repressalien seien uner- träglich geworden, weshalb er psychische Probleme bekommen habe. Die Anzeige wegen Propaganda für eine Terrororganisation sei der letzte Trop- fen gewesen, der das Fass zum Überlaufen gebracht habe. Zumal damit einhergehend auch sein Haus auf der Suche nach ihm durchsucht worden sei, habe er das Land schliesslich verlassen. Ein menschenwürdiges Le- ben sei für ihn als politisch aktiver Kurde in der Türkei nicht mehr möglich. Dies zeige sich auch daran, dass die Beschwerdeführerin nach seiner Aus- reise von der Polizei unter Druck gesetzt und zur Spitzeltätigkeit aufgefor- dert worden sei. Sodann wurde in der Beschwerde mit Bezug zu den geltend gemachten Ermittlungsverfahren wegen Propaganda für eine Terrororganisation da- rauf hingewiesen, dass die Vorinstanz allen asylsuchenden Personen aus der Türkei vorwerfe, dass ihre Beweismittel gefälscht, verfälscht oder ge- gen Entgelt beschafft worden seien, was rechtsstaatlich bedenklich sei. Die vom Beschwerdeführer eingereichten Beweismittel seien echt und nicht gegen Entgelt beschafft worden.</w:t>
      </w:r>
    </w:p>
    <w:p>
      <w:r>
        <w:rPr>
          <w:b/>
        </w:rPr>
        <w:t>E. 6.1</w:t>
      </w:r>
    </w:p>
    <w:p>
      <w:r>
        <w:t>Das Bundesverwaltungsgericht gelangt nach Prüfung der Akten zur Er- kenntnis, dass die Vorinstanz zutreffend zur Feststellung gelangt ist, dass die Vorbringen der Beschwerdeführenden den Anforderungen an die Glaubhaftigkeit gemäss Art. 7 AsylG respektive jenen an die Asylrelevanz gemäss Art. 3 AsylG nicht standhalten. Zur Vermeidung von Wiederholun- gen kann vorweg auf die Erwägungen in der angefochtenen Verfügung ver- wiesen werden. In der Beschwerde werden – wie nachfolgend aufgezeigt</w:t>
      </w:r>
    </w:p>
    <w:p>
      <w:r>
        <w:t>E-4673/2024 Seite 9 wird – keine substanziellen Einwände erhoben oder Erklärungen vorgetra- gen, welche geeignet wären, zu einer von derjenigen des SEM abweichen- den Einschätzung zu gelangen.</w:t>
      </w:r>
    </w:p>
    <w:p>
      <w:r>
        <w:rPr>
          <w:b/>
        </w:rPr>
        <w:t>E. 6.2.1</w:t>
      </w:r>
    </w:p>
    <w:p>
      <w:r>
        <w:t>Das Bundesverwaltungsgericht geht in Übereinstimmung mit dem SEM davon aus, dass die Anzeige vom (…) 2022, auf welcher wohl nach- träglich handschriftlich die Untersuchungsnummer notiert wurde (Soruşturma No. […]; A3 Bm. 13), erst am (…) 2022 – und damit nach Aus- reise des Beschwerdeführers – eingereicht und entgegengenommen wurde. Erst dann wurden die Ermittlungen mit der gleichen Untersuchungs- nummer eingeleitet (A3 Bm. 12, Bm. 14 und Bm. 15). Daher ist es nicht möglich, dass das Haus des Beschwerdeführers am (…) 2022 (A15 F79) aufgrund dieser Anzeige durchsucht wurde. Der diesbezügliche beschwer- deweise Einwand, die Anzeige sei tatsächlich am (...) 2022 erstattet wor- den und am (…) 2022 habe das Gericht ein Strafverfahren eröffnet sowie einen Festnahmebefehl erlassen, findet in den Akten keine Stütze, zumal auf dem Beschluss in sonstiger Sache und dem Vorführbefehl des (…) Friedensstrafrichteramtes H._______ vom (…) 2022 eine andere Untersu- chungsnummer aufgeführt ist (Soruşturma No. […]; A3 Bm. 31 und Bm. 32). Der Grund für die Eröffnung einer weiteren Untersuchung mit neuer Untersuchungsnummer ist aus den Akten nicht nachvollziehbar. Sie lässt sich auch nicht damit erklären, dass mit der Überweisung der Akten der Oberstaatsanwaltschaft G._______ (Provinz Istanbul) an die Ober- staatsanwaltschaft D._______ (Provinz Mardin, Soruşturma No. […]) eine neue Untersuchungsnummer generiert worden wäre, da dieser Schritt erst am (…) 2022, also nach Erlass des Vorführbefehls, stattfand (A3 Bm. 33). Ferner steht die Aussage der Beschwerdeführerin, die erste Razzia habe erst nach der Ausreise des Beschwerdeführers stattgefunden (A44 F72 und 77 ff.), tatsächlich in unauflösbarem Widerspruch zu den Ausführun- gen des Beschwerdeführers, als das Haus durchsucht worden sei, sei er noch in der Türkei (in der Provinz Hatay) gewesen und erst anschliessend ausgereist (A15 F68). Sodann ist nicht nachvollziehbar, dass die Be- schwerdeführerin selbst im Zeitpunkt der Anhörung den Grund der behörd- lichen Suche nach ihrem Ehemann nicht wusste (A44 F72 ff.), will sie doch deswegen aus der Türkei ausgereist sein (A44 F65). Auch erscheint die Vermutung des Beschwerdeführers, die Suche nach ihm hänge mit seinen Posts über die «Kobanê-Vorfälle» zusammen (A15 F68), nicht einsichtig, da diese sich im Jahr 2014 zugetragen haben und der Beschwerdeführer angeblich erst im (…) 2022 ins Visier der türkischen Behörden geraten sei.</w:t>
      </w:r>
    </w:p>
    <w:p>
      <w:r>
        <w:t>E-4673/2024 Seite 10 Weil die Suche nach ihm und die vorgebrachten Hausdurchsuchungen nicht glaubhaft sind, kann auch das Vorbringen der Beschwerdeführerin, sie sei von der türkischen Polizei als Spitzel angeworben worden, nicht ge- glaubt werden (A44 F65 und 87 ff.).</w:t>
      </w:r>
    </w:p>
    <w:p>
      <w:r>
        <w:rPr>
          <w:b/>
        </w:rPr>
        <w:t>E. 6.2.2</w:t>
      </w:r>
    </w:p>
    <w:p>
      <w:r>
        <w:t>Selbst bei unterstellter Glaubhaftigkeit der laufenden Ermittlungen teilt das Gericht die Einschätzung der Vorinstanz, wonach eine mit einem Politmalus behaftete Strafverfolgung des Beschwerdeführers vorliegend wenig wahrscheinlich und entsprechend zu verneinen ist. Nach dem zuvor Gesagten erscheint bereits ungewiss, ob die Staatsanwaltschaft die dem Beschwerdeführer vorgeworfenen Handlungen – nach Erlass des Be- schlusses in sonstiger Sache und des Vorführbefehls des (...) Friedens- strafrichteramtes H._______ vom (…) 2022 (A3 Bm. 31 und Bm. 32) – tat- sächlich als strafrechtlich relevant erachtet und einer Anklage zuführen wird, ob das zuständige Gericht eine solche Anklage als begründet erach- ten und ein Gerichtsverfahren eröffnen wird, ob der Beschwerdeführer ver- urteilt werden wird und ob eine allfällige Verurteilung von den Rechtsmitte- linstanzen bestätigt würde. Das voraussichtliche Verhalten der türkischen Behörden in einer solchen Situation lässt sich naturgemäss zwar nicht mit letzter Genauigkeit vorhersagen. Der Beschwerdeführer ist aber strafrecht- lich nicht vorbelastet und gilt daher als «Ersttäter». Zudem verfügt er über kein geschärftes Profil, zumal sein politisches Engagement im Heimatstaat niederschwellig war (A15 F77).</w:t>
      </w:r>
    </w:p>
    <w:p>
      <w:r>
        <w:rPr>
          <w:b/>
        </w:rPr>
        <w:t>E. 6.3</w:t>
      </w:r>
    </w:p>
    <w:p>
      <w:r>
        <w:t>Des Weiteren vermögen die vom Beschwerdeführer geschilderten Be- helligungen seitens der türkischen Behörden anlässlich von Besuchen des HDP-Gebäudes, im Rahmen von Newroz-Feierlichkeiten und im (…) im Jahr 2016 (A15 F89) – ohne diese Ereignisse zu bagatellisieren – die Schwelle ernsthafter Nachteile im Sinne von Art. 3 Abs. 2 AsylG nicht zu erreichen. Dasselbe gilt für die vom Beschwerdeführer dargelegten Über- griffe als er am (…) kurdische Musik gehört habe. Ferner ist gestützt auf diese Ereignisse auch nicht davon auszugehen, dass der Beschwerdefüh- rer in den Fokus der türkischen Behörden geraten wäre. So ist aufgrund seiner Schilderungen davon auszugehen, dass es eher zufällig zu diesen Vorfällen gekommen ist und nicht, weil die Behörden ihm gezielt nachge- stellt hätten. Der diesbezügliche Einwand auf Beschwerdeebene, die Re- pressionen gegen den Beschwerdeführer aufgrund seiner Ethnie hätten ein Ausmass erreicht, welches ein menschenwürdiges Leben in der Türkei für ihn unmöglich gemacht habe, überzeugt vor dem Hintergrund der Aus- führungen an der Anhörung nicht. Daher ist auch nicht von einem unerträg- lichen psychischen Druck auszugehen, zumal der bisher unbescholtene</w:t>
      </w:r>
    </w:p>
    <w:p>
      <w:r>
        <w:t>E-4673/2024 Seite 11 Beschwerdeführer– entgegen seiner Behauptung in der Beschwerde – auch nie inhaftiert wurde (A15 F94).</w:t>
      </w:r>
    </w:p>
    <w:p>
      <w:r>
        <w:rPr>
          <w:b/>
        </w:rPr>
        <w:t>E. 6.4</w:t>
      </w:r>
    </w:p>
    <w:p>
      <w:r>
        <w:t>Schliesslich lässt sich auch aus dem Umstand, dass einer seiner Cous- ins wegen seiner Mitgliedschaft bei der HDP seit 2016 oder 2017 inhaftiert ist (A15 F124 ff.), nichts zu seinen Gunsten ableiten, da er diesbezüglich keine ernsthaften Nachteile geltend gemacht hat.</w:t>
      </w:r>
    </w:p>
    <w:p>
      <w:r>
        <w:rPr>
          <w:b/>
        </w:rPr>
        <w:t>E. 6.5</w:t>
      </w:r>
    </w:p>
    <w:p>
      <w:r>
        <w:t>Nach dem Gesagten gelangt das Gericht zum Schluss, dass das SEM die Flüchtlingseigenschaft der Beschwerdeführenden zu Recht verneint und ihre Asylgesuche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E-4673/2024 Seite 12</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Auch aus der Beschwerdeschrift lässt sich diesbezüg- lich nichts zu Gunsten der Beschwerdeführenden ableiten.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EGMR Saadi gegen Italien vom 28. Februar 2008, Grosse Kammer 37201/06, § 124 ff. m.w.H.). Dies ist ihnen nicht gelungen.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t>E-4673/2024 Seite 13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w:t>
      </w:r>
    </w:p>
    <w:p>
      <w:r>
        <w:rPr>
          <w:b/>
        </w:rPr>
        <w:t>E. 8.3.3</w:t>
      </w:r>
    </w:p>
    <w:p>
      <w:r>
        <w:t>Schliesslich sind die vorinstanzlichen Ausführungen auch dahinge- hend zu bestätigen, dass nichts gegen die Zumutbarkeit des Wegwei- sungsvollzugs in die Provinz Mardin, welche von den schweren Erdbeben vom Februar 2023 nicht betroffen war (vgl. Referenzurteil BVGer E-1308/2023 vom 19. März 2024 E. 11.1), spricht. Die Beschwerdeführen- den sind jung und verfügen insbesondere in ihrer Heimatprovinz über ein grosses familiäres Netz (A15 F42; A44 F34). Der Beschwerdeführer hat überdies eine universitäre Ausbildung als (…) und Arbeitserfahrungen auf diesem Gebiet (A15 F22 ff.). Die finanzielle Situation der Beschwerdefüh- renden war (zumindest bis zur Ausreise) sehr gut (A15 F28 f.). Sodann steht auch ihr Gesundheitszustand einem Wegweisungsvollzug nicht ent- gegen, zumal es keine Hinweise auf ernsthafte medizinische Probleme gibt (A15 F5 f.; A44 F7 und 9). Schliesslich sind angesichts des jungen Alters und der kurzen Aufenthaltsdauer des Sohnes der Beschwerdeführenden auch keine Hinweise darauf zu entnehmen, dass das Kindeswohl nach Art. 3 KRK dem Wegweisungsvollzug entgegenstehen würde (vgl. BVGE 2015/30 E. 7.2 m.w.H.). Nach dem Gesagten erweist sich der Vollzug der Wegweisung auch in individueller Hinsicht als zumutbar.</w:t>
      </w:r>
    </w:p>
    <w:p>
      <w:r>
        <w:rPr>
          <w:b/>
        </w:rPr>
        <w:t>E. 8.4</w:t>
      </w:r>
    </w:p>
    <w:p>
      <w:r>
        <w:t>Schliesslich obliegt es den Beschwerdeführenden, sich bei der zustän- digen Vertretung des Heimatstaates die für eine Rückkehr notwendigen Reisedokumente zu beschaffen (Art. 8 Abs. 4 AsylG; vgl. auch BVGE</w:t>
      </w:r>
    </w:p>
    <w:p>
      <w:r>
        <w:t>E-4673/2024 Seite 14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30. September 2024 in gleicher Höhe geleistete Kostenvorschuss ist zur Bezahlung der Verfahrenskosten zu verwenden.</w:t>
      </w:r>
    </w:p>
    <w:p>
      <w:r>
        <w:t>(Dispositiv nächste Seite)</w:t>
      </w:r>
    </w:p>
    <w:p>
      <w:r>
        <w:t>E-4673/2024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