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E-466/2010 vom 14. Mai 2010</w:t>
      </w:r>
    </w:p>
    <w:p>
      <w:r>
        <w:t>Bundesverwaltungsgericht, 2010-05-14, DE</w:t>
      </w:r>
    </w:p>
    <w:p>
      <w:r>
        <w:rPr>
          <w:b/>
        </w:rPr>
        <w:t xml:space="preserve">Quelle: </w:t>
      </w:r>
      <w:r>
        <w:t>https://mcp.opencaselaw.ch/entscheid/bvger_E-466_2010</w:t>
      </w:r>
    </w:p>
    <w:p>
      <w:r>
        <w:t>FR: TAF E-466/2010 du 14 mai 2010</w:t>
      </w:r>
    </w:p>
    <w:p>
      <w:r>
        <w:t>IT: TAF E-466/2010 del 14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Verfügung des BFM vom 15. Januar 2010 wird aufgehoben.</w:t>
      </w:r>
    </w:p>
    <w:p>
      <w:r>
        <w:rPr>
          <w:b/>
        </w:rPr>
        <w:t>E. 2</w:t>
      </w:r>
    </w:p>
    <w:p>
      <w:r>
        <w:t>Die Akten werden dem BFM zur Fortsetzung des Verfahrens und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Der Beschwerdeführerin wird eine Parteientschädigung von Fr. 888.-- zugesprochen, die ihr durch das BFM zu entrichten ist.</w:t>
      </w:r>
    </w:p>
    <w:p>
      <w:r>
        <w:rPr>
          <w:b/>
        </w:rPr>
        <w:t>E. 5</w:t>
      </w:r>
    </w:p>
    <w:p>
      <w:r>
        <w:t>Dieses Urteil geht an die Rechtsvertreterin der Beschwerdeführerin, das BFM und B._______. Die vorsitzende 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