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E-4666/2014 vom 2. Oktober 2014</w:t>
      </w:r>
    </w:p>
    <w:p>
      <w:r>
        <w:t>Bundesverwaltungsgericht, 2014-10-02, DE</w:t>
      </w:r>
    </w:p>
    <w:p>
      <w:r>
        <w:rPr>
          <w:b/>
        </w:rPr>
        <w:t xml:space="preserve">Quelle: </w:t>
      </w:r>
      <w:r>
        <w:t>https://mcp.opencaselaw.ch/entscheid/bvger_E-4666_2014</w:t>
      </w:r>
    </w:p>
    <w:p>
      <w:r>
        <w:t>FR: TAF E-4666/2014 du 2 octobre 2014</w:t>
      </w:r>
    </w:p>
    <w:p>
      <w:r>
        <w:t>IT: TAF E-4666/2014 del 2 ottobre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wurde verzichtet (Art. 111a Abs. 1 AsylG).</w:t>
      </w:r>
    </w:p>
    <w:p>
      <w:r>
        <w:rPr>
          <w:b/>
        </w:rPr>
        <w:t>E. 4</w:t>
      </w:r>
    </w:p>
    <w:p>
      <w:r>
        <w:t>Gemäss Art. 51 Abs. 1 AsylG werden unter dem Titel Familienasyl Ehegatten von asylberechtigten Flüchtlingen und deren minderjährige Kinder als Flüchtlinge anerkannt und erhalten Asyl, sofern keine besonderen Umstände dagegen sprechen. Dem Einbezug in die Flüchtlingseigenschaft und der Asylgewährung entgegenstehende besondere Umstände sind gemäss Rechtsprechung beispielsweise dann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5.1</w:t>
      </w:r>
    </w:p>
    <w:p>
      <w:r>
        <w:t>Das BFM führte zur Begründung seiner ablehnenden Verfügung aus, der Beschwerdeführer habe bei der Befragung zur Person (Protokoll vom 18. Januar 2010) ausgesagt, ledig und kinderlos zu sein. Somit habe damals keine eheliche Gemeinschaft, die durch die Flucht aus Syrien getrennt worden sei, bestanden. Vielmehr sei sie erst mehr als vier Jahre nach der Einreise in die Schweiz entstanden. Demnach seien vorliegend die Voraussetzungen für die Gewährung von Familienasyl und die Erteilung einer Einreisebewilligung im Sinne von Art. 51 Abs. 1 und 4 nicht erfüllt, weshalb das Gesuch um Familienzusammenführung abzulehnen sei. Es stehe dem Beschwerdeführer jedoch frei, bei der zuständigen Migrationsbehörde gestützt auf Ausländergesetz (AuG; SR 142.20) ein Gesuch um Familiennachzug zu stellen. In der Beschwerdeverbesserung machte der Beschwerdeführer unter anderem geltend, er habe zwischenzeitlich bereits ein Gesuch um Familiennachzug eingereicht, dieser Prozess nehme jedoch viel Zeit in Anspruch. Seine Frau befinde sich mittlerweile in Istanbul und werde am (...) 2014 ihr erstes Interview bei der Botschaft haben. Er sei in der Schweiz gut integriert, spreche gut Deutsch, habe eine Stelle und verfüge über eine 2.5 Zimmer-Wohnung. Er wolle eine Familie gründen, weshalb die Einreise seiner Frau zu bewilligen sei.</w:t>
      </w:r>
    </w:p>
    <w:p>
      <w:r>
        <w:rPr>
          <w:b/>
        </w:rPr>
        <w:t>E. 6.1</w:t>
      </w:r>
    </w:p>
    <w:p>
      <w:r>
        <w:t>Vorliegend ist in Übereinstimmung mit dem Bundesamt festzuhalten, dass der Beschwerdeführer bei der Befragung zur Person im Empfangs- und Verfahrenszentrum Basel vom 26. Januar 2010 angab, er sei ledig und habe keine Kinder. Auch aus der Eingabe vom 8. Juli 2010 seines damaligen Rechtsvertreters geht nicht hervor, dass er zu diesem Zeitpunkt liiert gewesen wäre. Gemäss der sich in den Akten befindlichen Heiratsurkunde hat die Eheschliessung am 5. Februar 2014 in Syrien in seiner Abwesenheit, mittels Vollmacht stattgefunden, also nachdem ihm Asyl gewährt worden war. Wie bereits ausgeführt (vgl. vorstehend E. 4), haben Personen, welche nach Art. 51 Abs. 1 AsylG als Flüchtlinge anzuerkennen sind, aus Art. 51 Abs. 4 AsylG einen Anspruch auf Erteilung einer Einreisebewilligung, sofern sie sich im Ausland aufhalten und durch die Flucht des anerkannten Flüchtlings getrennt wurden. Das Rechtsinstitut des Familienasyls bezweckt dabei die Bewahrung von vorbestandenen Familiengemeinschaften beziehungsweise deren Wiederherstellung, sofern die Gemeinschaft allein aufgrund der Fluchtumstände und somit unfreiwillig getrennt wurde (vgl. BVGE 2012/32 E. 5.2 und E.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6.2</w:t>
      </w:r>
    </w:p>
    <w:p>
      <w:r>
        <w:t>Es ist demnach festzustellen, dass zwischen dem Beschwerdeführer und B._______ keine allein durch die Flucht getrennte Beziehung im Sinne der zitierten Rechtsprechung bestanden hat. Da die Einreisebewilligung wie erwähnt zwecks Gewährung von Familienasyl nach Art. 51 Abs. 1 und 4 AsylG nicht der Aufnahme einer zuvor nicht gelebten Beziehung dient, sind die Voraussetzungen für die Erteilung einer Einreisebewilligung nicht erfüllt. Das BFM hat das Gesuch um Bewilligung der Einreise zwecks Familienzusammenführung im Sinne von Art. 51 Abs. 1 und 4 AsylG zu Recht abgelehnt.</w:t>
      </w:r>
    </w:p>
    <w:p>
      <w:r>
        <w:rPr>
          <w:b/>
        </w:rPr>
        <w:t>E. 7</w:t>
      </w:r>
    </w:p>
    <w:p>
      <w:r>
        <w:t>Bei diesem Ausgang des Verfahrens sind die Kosten (Art. 1-3 des Reglements vom 21. Februar 2008 über die Kosten und Entschädigungen vor dem Bundesverwaltungsgericht [VGKE, SR 173.320.2]) dem Beschwerdeführer aufzuerlegen (Art. 63 Abs. 1 VwVG). Sie sind durch den am 16. September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