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  <w:jc w:val="left"/>
      </w:pPr>
      <w:r>
        <w:t>BVGer E-4666/2012 vom 13. September 2012</w:t>
      </w:r>
    </w:p>
    <w:p>
      <w:r>
        <w:t>Bundesverwaltungsgericht, 2012-09-13, DE</w:t>
      </w:r>
    </w:p>
    <w:p>
      <w:r>
        <w:rPr>
          <w:b/>
        </w:rPr>
        <w:t xml:space="preserve">Quelle: </w:t>
      </w:r>
      <w:r>
        <w:t>https://mcp.opencaselaw.ch/entscheid/bvger_E-4666_2012</w:t>
      </w:r>
    </w:p>
    <w:p>
      <w:r>
        <w:t>FR: TAF E-4666/2012 du 13 septembre 2012</w:t>
      </w:r>
    </w:p>
    <w:p>
      <w:r>
        <w:t>IT: TAF E-4666/2012 del 13 settembre 2012</w:t>
      </w:r>
    </w:p>
    <w:p>
      <w:pPr>
        <w:pStyle w:val="Heading2"/>
      </w:pPr>
      <w:r>
        <w:t>Regeste</w:t>
      </w:r>
    </w:p>
    <w:p>
      <w:r>
        <w:t>Nichteintreten auf Asylgesuch und Wegweisung (Dublin-Verfahren)</w:t>
      </w:r>
    </w:p>
    <w:p>
      <w:pPr>
        <w:pStyle w:val="Heading2"/>
      </w:pPr>
      <w:r>
        <w:t>Erwägungen</w:t>
      </w:r>
    </w:p>
    <w:p>
      <w:r>
        <w:rPr>
          <w:b/>
        </w:rPr>
        <w:t>E. 1</w:t>
      </w:r>
    </w:p>
    <w:p>
      <w:r>
        <w:t>Die Beschwerde wird abgewiesen.</w:t>
      </w:r>
    </w:p>
    <w:p>
      <w:r>
        <w:rPr>
          <w:b/>
        </w:rPr>
        <w:t>E. 2</w:t>
      </w:r>
    </w:p>
    <w:p>
      <w:r>
        <w:t>Die Verfahrenskosten von Fr. 600.- werden den Beschwerdeführenden auferlegt. Dieser Betrag ist innert 30 Tagen ab Versand des Urteils zu Gunsten der Gerichtskasse zu überweisen.</w:t>
      </w:r>
    </w:p>
    <w:p>
      <w:r>
        <w:rPr>
          <w:b/>
        </w:rPr>
        <w:t>E. 3</w:t>
      </w:r>
    </w:p>
    <w:p>
      <w:r>
        <w:t>Dieses Urteil geht an die Beschwerdeführenden, das BFM und die zuständige kantonale Behörde. Der Einzelrichter: Der Gerichtsschreiber: Walter Stöckli Tobias Meyer Versand:</w:t>
      </w:r>
    </w:p>
    <w:p/>
    <w:p>
      <w:pPr>
        <w:spacing w:before="240"/>
      </w:pPr>
      <w:r>
        <w:t>Export aus OpenCaseLaw (CC0). Verbindlich ist allein der vom erlassenden Gericht veröffentlichte Originaltext. Quellen-URL siehe oben.</w:t>
      </w:r>
    </w:p>
    <w:sectPr w:rsidR="00FC693F" w:rsidRPr="0006063C" w:rsidSect="00034616">
      <w:pgSz w:w="12240" w:h="15840"/>
      <w:pgMar w:top="1417" w:right="1417" w:bottom="1417" w:left="1417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pPr>
      <w:spacing w:lineRule="auto" w:line="288" w:before="0" w:after="120"/>
    </w:pPr>
    <w:rPr>
      <w:rFonts w:ascii="Times New Roman" w:hAnsi="Times New Roman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0" w:after="120" w:lineRule="auto" w:line="288"/>
      <w:outlineLvl w:val="0"/>
    </w:pPr>
    <w:rPr>
      <w:rFonts w:asciiTheme="majorHAnsi" w:eastAsiaTheme="majorEastAsia" w:hAnsiTheme="majorHAnsi" w:cstheme="majorBidi" w:ascii="Times New Roman" w:hAnsi="Times New Roman"/>
      <w:b/>
      <w:bCs/>
      <w:color w:val="365F91" w:themeColor="accent1" w:themeShade="BF"/>
      <w:sz w:val="32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0" w:after="120" w:lineRule="auto" w:line="288"/>
      <w:outlineLvl w:val="1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0" w:after="120" w:lineRule="auto" w:line="288"/>
      <w:outlineLvl w:val="2"/>
    </w:pPr>
    <w:rPr>
      <w:rFonts w:asciiTheme="majorHAnsi" w:eastAsiaTheme="majorEastAsia" w:hAnsiTheme="majorHAnsi" w:cstheme="majorBidi" w:ascii="Times New Roman" w:hAnsi="Times New Roman"/>
      <w:b/>
      <w:bCs/>
      <w:color w:val="4F81BD" w:themeColor="accent1"/>
      <w:sz w:val="24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