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E-4662/2016 vom 24. August 2016</w:t>
      </w:r>
    </w:p>
    <w:p>
      <w:r>
        <w:t>Bundesverwaltungsgericht, 2016-08-24, DE</w:t>
      </w:r>
    </w:p>
    <w:p>
      <w:r>
        <w:rPr>
          <w:b/>
        </w:rPr>
        <w:t xml:space="preserve">Quelle: </w:t>
      </w:r>
      <w:r>
        <w:t>https://mcp.opencaselaw.ch/entscheid/bvger_E-4662_2016</w:t>
      </w:r>
    </w:p>
    <w:p>
      <w:r>
        <w:t>FR: TAF E-4662/2016 du 24 août 2016</w:t>
      </w:r>
    </w:p>
    <w:p>
      <w:r>
        <w:t>IT: TAF E-4662/2016 del 24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seiner Rechtsmittelschrift vom 28. Juli 2016 rügt der Beschwerdeführer zur Begründung seines Subeventualantrages auf Rückweisung der Sache an die Vorinstanz zum einen eine falsche und unvollständige Feststellung des Sachverhalts betreffend das Bestehen einer Fluchtalternative und eines Datenblattes. Die entsprechenden Rügen beanstanden jedoch, wie aus den nachfolgenden Ausführungen in E. 7. ersichtlich wird, die rechtlichen Erwägungen und Schlussfolgerungen der Vorinstanz. Die betreffenden Einwände sind daher nachfolgend innerhalb der materiell-rechtlichen Würdigung der Sache und nicht vorangehend als formelle Rügen abzuhandeln. Zum anderen rügt der Beschwerdeführer eine mangelhafte Sachverhaltsfeststellung mit der Begründung, das SEM hätte zum Zeitpunkt des Verfügungserlasses am 24. Juni 2016 den gescheiterten Putschversuch in der Türkei bereits erahnen und die sich daraus ändernden Umstände berücksichtigen können. Da dieser Putschversuch jedoch erst in der Nacht vom 15. auf den 16. Juli 2016 stattfand, ohne dass es konkrete Anzeichen dafür gegeben hatte, kann die diesbezügliche Rüge der falschen und unvollständigen Feststellung des Sachverhaltes ebenfalls nicht gehört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Asylentscheides qualifizierte das SEM die geltend gemachten Vorbringen als den Anforderungen von Art. 3 AsylG an die Flüchtlingseigenschaft nicht genügend, wobei es hinsichtlich deren Glaubhaftigkeit ausdrücklich einen Vorbehalt anbrachte. Weder bei den Schikanen und Benachteiligungen, welchen Angehörige der kurdisch-alevitischen Bevölkerung ausgesetzt sein könnten, noch bei den kurzzeitigen Festnahmen handle es sich um ernsthafte Nachteile im Sinne des Asylgesetzes. Betreffend den Beschwerdeführer bestehe aller Wahrscheinlichkeit nach kein Datenblatt, und er unterstehe keinem Passverbot. Zudem habe er keine Kenntnisse von einem gegen ihn eingeleiteten Strafverfahren. Weiter hätten die geltend gemachten Schikanen lokal beschränkten Charakter, und durch einen Wegzug in einen anderen Landesteil oder eine Grossstadt könne er sich diesen entziehen. Der Beschwerdeführer verfüge somit über eine innerstaatliche Fluchtalternative. Im Übrigen spreche auch sein Verhalten - er habe das Asylgesuch erst nach mehreren Monaten Aufenthalt in Frankreich und in der Schweiz gestellt - gegen eine unmittelbare Gefährdung.</w:t>
      </w:r>
    </w:p>
    <w:p>
      <w:r>
        <w:rPr>
          <w:b/>
        </w:rPr>
        <w:t>E. 6.2</w:t>
      </w:r>
    </w:p>
    <w:p>
      <w:r>
        <w:t>In seiner Rechtsmittelschrift bringt der Beschwerdeführer vor, in der Türkei bestehe über jeden regierungskritischen Bürger ein Datenblatt. Dies habe sich beim gescheiterten Putschversuch durch Teile der türkischen Armee und den anschliessenden Inhaftierungen von mehr als 10'000 Personen gezeigt. Ohne bereits bestehende Datenblätter wären derart zahlreiche Festnahmen nicht möglich gewesen. Somit sei davon auszugehen, dass auch über den Beschwerdeführer ein Datenblatt bestehe. Zudem habe er sich mit seinem Asylgesuch in der Schweiz ein weiteres Mal gegen die türkische Regierung positioniert. Bei einer Rückkehr in die Türkei bestehe die Gefahr, dass er sich aufgrund der fehlenden Unabhängigkeit der türkischen Judikative einem nicht rechtsstaatlichen Prozess stellen müsse. Somit befürchte er, im Falle eine Rückkehr in die Türkei ernsthaften Nachteilen ausgesetzt zu sein. Eine innerstaatliche Fluchtalternative bestehe zudem nicht. Denn er sei in B._______ im Westen der Türkei zweimal festgenommen und im August 2015 dort von der Polizei gesucht worden. Würde er in eine andere Stadt ziehen, würde er auch dort gesucht.</w:t>
      </w:r>
    </w:p>
    <w:p>
      <w:r>
        <w:rPr>
          <w:b/>
        </w:rPr>
        <w:t>E. 7.1</w:t>
      </w:r>
    </w:p>
    <w:p>
      <w:r>
        <w:t>Einleitend in die materielle Würdigung der Asylvorbringen ist festzuhalten, dass die Art der niederschwelligen politischen Tätigkeiten des Beschwerdeführers, seine Unkenntnis über ein eingeleitetes Strafverfahren, die Ausstellung des türkischen Passes im August 2014, die legal und ohne Probleme vollzogene Ausreise aus der Türkei sowie die ausbleibenden Verfolgungshandlungen nach den zwei Kurzinhaftierungen bis zu seiner Ausreise gegen eine Registrierung des Beschwerdeführers als «politisch unbequeme» Person sprechen. Seine geltend gemachte Fichierung im Sinne eines bestehenden politischen Datenblattes, wie in der Beschwerdeschrift explizit vorgebracht, ist somit als unglaubhaft zu beurteilen.</w:t>
      </w:r>
    </w:p>
    <w:p>
      <w:r>
        <w:rPr>
          <w:b/>
        </w:rPr>
        <w:t>E. 7.2</w:t>
      </w:r>
    </w:p>
    <w:p>
      <w:r>
        <w:t>Das SEM ist in der angefochtenen Verfügung zur zutreffenden Erkenntnis gelangt, die vorgebrachten Probleme des Beschwerdeführers in der Türkei seien nicht als asylrelevant zu qualifizieren. Zur Vermeidung von Wiederholungen kann auf die entsprechenden Erwägungen der angefochtenen Verfügung und die Zusammenfassung in E. 6.1 verwiesen werden. Es bestehen zudem keine konkreten Hinweise, dass dem Beschwerdeführer bei einer Rückkehr ernsthafte Nachteile drohen würden. An dieser Feststellung vermag auch der Putschversuch in der Türkei, mit welchem er in keinerlei Verbindung steht, oder die unbelegte Suche der türkischen Polizei nach ihm im August 2015 nichts zu ändern. Diesbezüglich ist hervorzuheben, dass er den Grund dieser behördlichen Suche nicht näher anzugeben vermochte. Er brachte lediglich vor, dass die türkischen Behörden allenfalls vermutet hätten, er sei für die PKK in den zu dieser Zeit aufgeflammten, regionalen Konflikt gezogen. Das blosse Stellen eines Asylgesuches führt praxisgemäss ebenfalls nicht zu einem politischen Profil von relevanter Bedeutung. So gab er bei der Anhörung vom 8. September 2015 dann auch selbst an, bei einer Rückkehr vermutlich nicht umgehend inhaftiert zu werden. Aufgrund des Gesagten weisen die Vorbringen des Beschwerdeführers keine Asylrelevanz im Sinne von Art. 3 AsylG auf. Somit erfüllt der Beschwerdeführer die Flüchtlingseigenschaft bereits aus den genannten Gründen nicht und es ist nicht weiter auf die von der Vorinstanz vorgebrachten Flucht- beziehungsweise Schutzalternativen innerhalb der Türkei einzugehen (vgl. BVGE 2011/51 E. 8.1).</w:t>
      </w:r>
    </w:p>
    <w:p>
      <w:r>
        <w:rPr>
          <w:b/>
        </w:rPr>
        <w:t>E. 7.3</w:t>
      </w:r>
    </w:p>
    <w:p>
      <w:r>
        <w:t>Zusammenfassend ist festzuhalten, dass das SEM das Bestehen einer Verfolgungssituation des Beschwerdeführers zu Recht verneint hat. Aufgrund obiger Ausführungen ist von einer vollständigen und korrekten Feststellung des Sachverhalts auszugehen und eine Rückweisung des Verfahrens zwecks weiterer Abklärungen erübrigt sich.</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In Übereinstimmung mit der Vorinstanz ist festzuhalten, dass der Grundsatz der Nichtrückschiebung vorliegend mangels Erfüllung der Flüchtlingseigenschaft keine Anwendung findet. Es sind zudem keine anderweitigen völkerrechtlichen Vollzugshindernisse erkennbar und auch die allgemeine Menschenrechtssituation in der Türkei lässt den Wegweisungsvollzug nicht als unzulässig erscheinen. Der Vollzug der Wegweisung ist somit als zulässig zu erachten.</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erwog in zutreffender Weise, dass weder die allgemeine oder die politische Lage in der Türkei noch andere, insbesondere individuelle Gründe, eine Rückkehr des Beschwerdeführers in die Türkei als unzumutbar erscheinen lassen. Es kann auf die entsprechenden Ausführungen in der angefochtenen Verfügung zur Berufserfahrung, soliden Schulbildung, guten Gesundheit sowie zum jungen Alter und bestehenden familiären Beziehungsnetz verwiesen werden. Aufgrund dessen ist nicht ersichtlich, dass der Beschwerdeführer bei einer Rückkehr in die Türkei in eine konkrete Gefährdungslage gerät. Der allgemein gehaltene Einwand in der Beschwerdeschrift, er werde als Anhänger einer religiösen und ethnischen Minderheit erhebliche Schwierigkeiten bei der Stellensuche haben, führt zu keiner anderen Einschätzung. Der Vollzug der Wegweisung erweist sich somit zusammenfassend als zumutbar.</w:t>
      </w:r>
    </w:p>
    <w:p>
      <w:r>
        <w:rPr>
          <w:b/>
        </w:rPr>
        <w:t>E. 9.4</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Aufgrund dieser Erwägungen erübrigt es sich, weiter auf die Beschwerdevorbringen und die eingereichten Beweismittel einzugehen. Die angefochtene Verfügung ist in Übereinstimmung mit dem Bundesrecht, stellt den rechtserheblichen Sachverhalt richtig sowie vollständig fest (Art. 106 Abs. 1 AsylG) und ist angemessen. Die Beschwerde ist abzuweisen.</w:t>
      </w:r>
    </w:p>
    <w:p>
      <w:r>
        <w:rPr>
          <w:b/>
        </w:rPr>
        <w:t>E. 11.1</w:t>
      </w:r>
    </w:p>
    <w:p>
      <w:r>
        <w:t>Aufgrund der dargelegten Aussichtslosigkeit der Beschwerde ist das Gesuch um Gewährung der unentgeltlichen Rechtspflege im Sinne von Art. 65 Abs. 1 VwVG unbesehen der belegten Bedürftigkeit des Beschwerdeführers abzuweisen. Entsprechend ist dem Gesuch um Bestellung eines amtlichen Rechtsbeistandes im Sinne von Art. 110a Abs. 1 Bst. a AsylG ebenfalls nicht stattzugeben.</w:t>
      </w:r>
    </w:p>
    <w:p>
      <w:r>
        <w:rPr>
          <w:b/>
        </w:rPr>
        <w:t>E. 11.2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11.3</w:t>
      </w:r>
    </w:p>
    <w:p>
      <w:r>
        <w:t>Die weiteren Anträge bezüglich des Aufenthaltsrechts in der Schweiz für die Dauer des Verfahrens, des Verzichts auf die Erhebung eines Kostenvorschusses und des Replikrechts gegenüber allfälligen Stellungnahmen des SEM sind mit dem vorliegenden Urteil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