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E-4661/2016 vom 9. August 2016</w:t>
      </w:r>
    </w:p>
    <w:p>
      <w:r>
        <w:t>Bundesverwaltungsgericht, 2016-08-09, DE</w:t>
      </w:r>
    </w:p>
    <w:p>
      <w:r>
        <w:rPr>
          <w:b/>
        </w:rPr>
        <w:t xml:space="preserve">Quelle: </w:t>
      </w:r>
      <w:r>
        <w:t>https://mcp.opencaselaw.ch/entscheid/bvger_E-4661_2016</w:t>
      </w:r>
    </w:p>
    <w:p>
      <w:r>
        <w:t>FR: TAF E-4661/2016 du 9 août 2016</w:t>
      </w:r>
    </w:p>
    <w:p>
      <w:r>
        <w:t>IT: TAF E-4661/2016 del 9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von E. 2.2 - einzutreten.</w:t>
      </w:r>
    </w:p>
    <w:p>
      <w:r>
        <w:rPr>
          <w:b/>
        </w:rPr>
        <w:t>E. 1.3</w:t>
      </w:r>
    </w:p>
    <w:p>
      <w:r>
        <w:t>Gemäss Art. 33a Abs. 2 VwVG ist im Beschwerdeverfahren die Sprache der angefochtenen Verfügung massgebend, weshalb der vorliegende Entscheid in deutscher Sprache ergeht.</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Auf die diesbezüglichen Begehren in der Beschwerde ist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Den vorliegenden Akten ist zu entnehmen (vgl. Ausführungen des Beschwerdeführers im Rahmen der BzP, A7/11 S. 6ff., sowie die eingereichte Wegweisungsverfügung aus Italien vom [...] April 2016), dass der Beschwerdeführer erstmals in Italien in das Hoheitsgebiet der Dublin-Mitgliedstaaten eingereist ist. Das SEM ersuchte infolgedessen am 17. Mai 2016 die italienischen Behörden gestützt auf Art. 13 Abs. 1 Dublin-III-VO um Übernahme des Beschwerdeführers; jene liessen das Übernahmeersuchen innert der in Art. 22 Dublin-III-VO vorgesehenen Frist unbeantwortet, womit sie ihre Zuständigkeit implizit anerkannten. Die grundsätzliche Zuständigkeit Italiens wird denn auch weder im Rahmen der Gewährung des rechtlichen Gehörs noch in der Beschwerdeschrift bestritten. Insbesondere vermag auch die seitens der italienischen Behörden erlassene Wegweisungsverfügung vom [...] April 2016 hieran nichts zu ändern, zumal dieses Verfahren zu Recht durchgeführt wurde, da sich der Beschwerdeführer zu jenem Zeitpunkt als Ausländer illegal in Italien aufhielt und dort auch kein Asylgesuch eingereicht hatte (vgl. den Eurodac-Eintrag sowie die Aussagen des Beschwerdeführers in A7/11 Ziff. 5.02); dies schliesst jedoch nicht die durch die Dublin-III-VO begründete Pflicht Italiens aus, das (nunmehr gestellte) Asylgesuch des Beschwerdeführers zu prüfen. Im Übrigen vermögen auch die durch den Beschwerdeführer eingereichten Fotos (in Farbkopie) seiner Verletzungen am Körper obige Einschätzung nicht umzustossen. Die Zuständigkeit Italiens im vorliegenden Fall ist somit gegeben.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nicht vorgetragen und sind auch nicht notorisch (vgl. statt vieler Urteil E-6657/2014 vom 14. Juli 2016 E. 5 m.w.H.), weshalb die Anwendung von Art. 3 Abs. 2 Satz 2 Dublin-III-VO vorliegend nicht gerechtfertigt erscheint.</w:t>
      </w:r>
    </w:p>
    <w:p>
      <w:r>
        <w:rPr>
          <w:b/>
        </w:rPr>
        <w:t>E. 6</w:t>
      </w:r>
    </w:p>
    <w:p>
      <w:r>
        <w:t>Weiter ist der Frage nachzugehen, ob für den Beschwerdeführer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6.1</w:t>
      </w:r>
    </w:p>
    <w:p>
      <w:r>
        <w:t>Namentlich steht der Gesundheitszustand des Beschwerdeführers einer Überstellung nicht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Eine solche Situation ist vorliegend nicht gegeben (vgl. "Meldung medizinischer Fall" vom 21. und 25. April 2016, A9/2). Vielmehr ist von seiner Reisefähigkeit auszugehen. Sein Gesundheitszustand vermag eine Unzulässigkeit im Sinne dieser restriktiven Rechtsprechung mithin nicht zu rechtfertigen.</w:t>
      </w:r>
    </w:p>
    <w:p>
      <w:r>
        <w:rPr>
          <w:b/>
        </w:rPr>
        <w:t>E. 6.2</w:t>
      </w:r>
    </w:p>
    <w:p>
      <w:r>
        <w:t>Hinsichtlich der Behauptung, er müsste im Falle einer Überstellung nach Italien dort auf der Strasse leben, ist festzuhalten,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Übrigen steht dem Beschwerdeführer der Rechtsweg offen, sollte er sich von den italienischen Behörden nicht korrekt behandelt fühlen; wobei vorliegend schliesslich offen gelassen werden kann, ob ihm die auf den eingereichten Fotos sichtbaren Narben tatsächlich durch die dortigen Behörden zugefügt worden sind.</w:t>
      </w:r>
    </w:p>
    <w:p>
      <w:r>
        <w:rPr>
          <w:b/>
        </w:rPr>
        <w:t>E. 6.3</w:t>
      </w:r>
    </w:p>
    <w:p>
      <w:r>
        <w:t>Unter diesen Umständen wurde keine Gefährdung nach Art. 3 EMRK dargetan, womit sich auch keine zwingenden Gründe für die Ausübung der Ermessensklausel und für einen Selbsteintritt nach Art. 17 Abs. 1 Dublin-III-VO ergeben.</w:t>
      </w:r>
    </w:p>
    <w:p>
      <w:r>
        <w:rPr>
          <w:b/>
        </w:rPr>
        <w:t>E. 7</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8.1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8.2</w:t>
      </w:r>
    </w:p>
    <w:p>
      <w:r>
        <w:t>Das SEM ist demnach zu Recht gestützt auf Art. 31a Abs. 1 Bst. b AsylG auf das Asylgesuch des Beschwerdeführers nicht eingetreten und hat (in Anwendung von Art. 44 AsylG) seine Überstellung nach Italien angeordnet.</w:t>
      </w:r>
    </w:p>
    <w:p>
      <w:r>
        <w:rPr>
          <w:b/>
        </w:rPr>
        <w:t>E. 9</w:t>
      </w:r>
    </w:p>
    <w:p>
      <w:r>
        <w:t>Nach dem Gesagten ist die Beschwerde abzuweisen und die Verfügung des SEM vom 20. Juli 2016 zu bestätigen.</w:t>
      </w:r>
    </w:p>
    <w:p>
      <w:r>
        <w:rPr>
          <w:b/>
        </w:rPr>
        <w:t>E. 10.1</w:t>
      </w:r>
    </w:p>
    <w:p>
      <w:r>
        <w:t>Das Beschwerdeverfahren ist mit vorliegendem Urteil abgeschlossen, weshalb sich die Anträge auf Gewährung der aufschiebenden Wirkung sowie Befreiung von der Kostenvorschusspflicht als gegenstandslos erweisen.</w:t>
      </w:r>
    </w:p>
    <w:p>
      <w:r>
        <w:rPr>
          <w:b/>
        </w:rPr>
        <w:t>E. 10.2</w:t>
      </w:r>
    </w:p>
    <w:p>
      <w:r>
        <w:t>Im Übrigen deutet aufgrund der dem Bundesverwaltungsgericht derzeit vorliegenden Akten nichts auf eine konkrete Gefährdung des Beschwerdeführers durch eine allfällige Bekanntgabe der in Art. 97 Abs. 3 Bst. a-c AsylG erwähnten Personendaten gegenüber der zuständigen ausländischen Behörde hin. Der Antrag um Erlass vorsorglicher Massnahmen betreffend eine Datenweitergabe wäre daher im Rahmen einer Beschwerdeinstruktion abzuweisen gewesen und ist mit dem vorliegenden Endentscheid gegenstandslos geworden. Da aus den vorliegenden Akten nicht hervorgeht, dass die Vorinstanz den Beschwerdeführer betreffende Daten an den Heimatstaat weitergegeben hat, wozu angesichts der angeordneten Überstellung nach Italien auch keinerlei Anlass ersichtlich wird, erweist sich auch das Eventualbegehren betreffend Mitteilung einer bereits erfolgten Datenweitergabe als gegenstandslos.</w:t>
      </w:r>
    </w:p>
    <w:p>
      <w:r>
        <w:rPr>
          <w:b/>
        </w:rPr>
        <w:t>E. 10.3</w:t>
      </w:r>
    </w:p>
    <w:p>
      <w:r>
        <w:t>Nachdem die Beschwerde, wie aus dem oben Gesagten hervorgeht, als aussichtslos bezeichnet werden musste, sind die Voraussetzungen von Art. 65 Abs. 1 und Art. 110a Abs. 2 i.V.m. Art. 65 Abs. 2 VwVG nicht erfüllt und die Gesuche um Gewährung der unentgeltlichen Prozessführung sowie Rechtsverbeiständung sind abzuweisen.</w:t>
      </w:r>
    </w:p>
    <w:p>
      <w:r>
        <w:rPr>
          <w:b/>
        </w:rPr>
        <w:t>E. 10.4</w:t>
      </w:r>
    </w:p>
    <w:p>
      <w:r>
        <w:t>Bei diesem Ausgang des Verfahrens sind die Kosten des Beschwerdeverfahrens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