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E-4660/2011 vom 13. Februar 2013</w:t>
      </w:r>
    </w:p>
    <w:p>
      <w:r>
        <w:t>Bundesverwaltungsgericht, 2013-02-13, DE</w:t>
      </w:r>
    </w:p>
    <w:p>
      <w:r>
        <w:rPr>
          <w:b/>
        </w:rPr>
        <w:t xml:space="preserve">Quelle: </w:t>
      </w:r>
      <w:r>
        <w:t>https://mcp.opencaselaw.ch/entscheid/bvger_E-4660_2011</w:t>
      </w:r>
    </w:p>
    <w:p>
      <w:r>
        <w:t>FR: TAF E-4660/2011 du 13 février 2013</w:t>
      </w:r>
    </w:p>
    <w:p>
      <w:r>
        <w:t>IT: TAF E-4660/2011 del 13 febbraio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BFM begründete seinen ablehnenden Entscheid mit der fehlenden Glaubhaftigkeit der Vorbringen der Beschwerdeführenden (Art. 7 AsylG) und verzichtete auf eine Prüfung der Asylrelevanz derselben.</w:t>
      </w:r>
    </w:p>
    <w:p>
      <w:r>
        <w:rPr>
          <w:b/>
        </w:rPr>
        <w:t>E. 3.2</w:t>
      </w:r>
    </w:p>
    <w:p>
      <w:r>
        <w:t>Da das Bundesverwaltungsgericht an die rechtliche Begründung der vorinstanzlichen Verfügung nicht gebunden ist (vgl. Art. 62 Abs. 4 VwVG), kann es eine angefochtene Verfügung im Ergebnis gleich belassen, dieser aber eine andere Begründung zu Grunde legen (sog. Motivsubstitution). Diese Möglichkeit der Motivsubstitution ist im Grundsatz der Rechtsanwendung von Amtes wegen begründet (vgl. Madeleine Camprubi in: Auer/Müller/Schindler [Hrsg.], VwVG, Kommentar zum Bundesgesetz über das Verwaltungsverfahren, Zürich/St. Gallen 2008, N 15 zu Art. 62 VwVG; André Moser/Michael Beusch/Lorenz Kneubühler, Prozessieren vor dem Bundesverwaltungsgericht, Basel 2008, Rz. 1.54 und 3.197). Im vorliegenden Fall nimmt das Bundesverwaltungsgericht eine Motivsubstitution im erwähnten Sinne vor und würdigt nachstehend die Vorbringen der Beschwerdeführenden nicht unter dem Gesichtspunkt der Glaubhaftigkeit, sondern unter demjenigen der Asylrelevanz. Die Beschwerdeführenden haben sich zu der mit Zwischenverfügung vom 2. September 2011 angekündigten Motivsubstitution nicht vernehmen lassen.</w:t>
      </w:r>
    </w:p>
    <w:p>
      <w:r>
        <w:rPr>
          <w:b/>
        </w:rPr>
        <w:t>E. 4</w:t>
      </w:r>
    </w:p>
    <w:p>
      <w:r>
        <w:t>4.1.1 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Walter Stöckli, Asyl, in: Uebersax/Rudin/Hugi Yar/Geiser [Hrsg.], Ausländerrecht, 2. Aufl., Basel 2009, Rz 11.17 und 11.18). 4.1.2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S. 827 f., BVGE 2010/44 E. 3.4 S. 620 f.; Entscheidungen und Mitteilungen der vormaligen Schweizerischen Asylrekurskommission [EMARK] 2005 Nr. 21 E. 7 S. 193 f., EMARK 2004 Nr. 1 E. 6.a) S. 9).</w:t>
      </w:r>
    </w:p>
    <w:p>
      <w:r>
        <w:rPr>
          <w:b/>
        </w:rPr>
        <w:t>E. 4.2</w:t>
      </w:r>
    </w:p>
    <w:p>
      <w:r>
        <w:t>Die Beschwerdeführerin begründete ihre Ausreise aus der Heimat im Wesentlichen damit, sie und ihre beiden Enkelkinder, welche bei ihr gelebt hätten, seien wiederholt von (...) bedroht und erpresst worden. Obwohl sie nach G._______ umgezogen seien und sie Anzeige erstattet habe, seien sie von diesen auch dort aufgespürt worden. Ferner sei (...) von Unbekannten entführt worden. Eine intensive Suche nach (...) sei aussichtslos geblieben.</w:t>
      </w:r>
    </w:p>
    <w:p>
      <w:r>
        <w:rPr>
          <w:b/>
        </w:rPr>
        <w:t>E. 4.3</w:t>
      </w:r>
    </w:p>
    <w:p>
      <w:r>
        <w:t>Ob ihre diesbezüglichen Ausführungen letztlich in allen Belangen den Tatsachen entsprechen, kann vorliegend offenbleiben, da selbst im Falle der Annahme der Richtigkeit ihrer Angaben diese aus nachfolgenden Gründen als in asylrechtlicher Hinsicht nicht relevant zu bezeichnen sind. Eine Auseinandersetzung mit den entsprechenden Erwägungen des BFM und den Entgegnungen auf Beschwerdeebene sowie mit den diesbezüglich eingereichten Beweismitteln kann somit unterbleiben.</w:t>
      </w:r>
    </w:p>
    <w:p>
      <w:r>
        <w:rPr>
          <w:b/>
        </w:rPr>
        <w:t>E. 4.4</w:t>
      </w:r>
    </w:p>
    <w:p>
      <w:r>
        <w:t>Eine Verfolgung vermag nämlich erst dann die Flüchtlingseigenschaft zu begründen, wenn sie aus einem der in Art. 3 Abs. 1 AsylG genannten Gründe (Rasse, Religion, Nationalität, Zugehörigkeit oder zu einer bestimmten sozialen Gruppe, politische Anschauungen) erfolgt. Ein derartiges Verfolgungsmotiv (vgl. hierzu beispielsweise Walter Kälin, Grundriss des Asylverfahrens, Basel/Frankfurt a.M. 1990, S. 86 ff; Alberto Achermann/Christina Hausammann, Handbuch des Asylrechts, 2. Aufl., Bern/Stuttgart 1991, S. 95 ff.; Walter Stöckli, Asyl, a.a.O., Rz 11.10 - 11.12), ist aus den vorliegenden Akten indessen nicht ersichtlich, liegt doch der Grund für die Behelligungen der Beschwerdeführerin durch (...) in ihrer Eigenschaft als sozial besser gestellte Person. Mit den geltend gemachten Nachteilen, welche auf die allgemeine wirtschaftliche und sozialen Lebensbedingungen in Guatemala zurückzuführen sind, wird keine asylrechtliche Verfolgung im Sinne von Art. 3 AsylG zum Ausdruck gebracht. Dies gilt selbst dann, wenn - wie von der Beschwerdeführerin in der Beschwerdeeingabe vorgebracht - die staatlichen Behörden nicht fähig sind, die guatemaltekische Bevölkerung vor Übergriffen (...) zu schützen, und auch dann, wenn davon insbesondere Frauen extrem bedroht sind, weil die guatemaltekische Justiz ohnmächtig ist und viele Täter straflos bleiben (vgl. Beschwerde S. 7 Nr. 9). Als Ausdruck der im Heimatland der Beschwerdeführerenden herrschenden sozialen Lebensbedingungen ist schliesslich auch die Entführung (...) zu betrachten, von welcher die Beschwerdeführerin selbst für sich und ihren Enkel keine asylrelevanten Nachteile ableiten kann. Dass sie nicht aus asylrelevanten, sondern anderen Gründen zusammen mit ihrem Enkel ihr Heimatland verlassen hat, zeigt sich nicht zuletzt aus ihrem Verhalten, sich nach einem dreimonatigen Aufenthalt in I._______ und der Schweiz nach Guatemala zurückzubegeben und erst nach eineinhalbmonatigem Aufenthalt bei (...) in der Schweiz ein Asylgesuch zu stellen.</w:t>
      </w:r>
    </w:p>
    <w:p>
      <w:r>
        <w:rPr>
          <w:b/>
        </w:rPr>
        <w:t>E. 4.5</w:t>
      </w:r>
    </w:p>
    <w:p>
      <w:r>
        <w:t>Nach dem Gesagten ist auf die im Zusammenhang mit der Glaubhaftigkeitsprüfung der Vorbringen erhobene Rüge der Verletzung der Untersuchungsmaxime, indem keine weiteren Abklärungen im Sinne von Art. 41 AsylG vorgenommen worden seien (beispielsweise durch einen [...] der Beschwerdeführerin betreffenden Nachforschungsauftrag mittels Schweizer Botschaft in Guatemala), nicht mehr einzugehen.</w:t>
      </w:r>
    </w:p>
    <w:p>
      <w:r>
        <w:rPr>
          <w:b/>
        </w:rPr>
        <w:t>E. 4.6</w:t>
      </w:r>
    </w:p>
    <w:p>
      <w:r>
        <w:t>Zusammenfassend ergibt sich, dass es den Beschwerdeführenden nicht gelungen ist, die Flüchtlingseigenschaft nachzuweisen oder zumindest glaubhaft zu machen. Es erübrigt sich, auf die weiteren Vorbringen in der Beschwerde im Einzelnen einzugehen, da diese am Ergebnis nichts zu ändern vermögen. Das BFM hat die Asylgesuche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(vgl. BVGE 2009/50 E. 9 S. 733 m.H.a. EMARK 2001 Nr. 21).</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7.In der Beschwerde wird eventualiter die Rückweisung der Sache an die Vorinstanz beantragt unter der Anweisung, sämtliche Herkunftsländerinformationen, auf welche sie ihre Verfügung stütze, offenzulegen. Aus den Ausführungen zu diesem Begehren ergibt sich zwar nicht klar, in welchem Kontext die damit (sinngemäss) erhobene Rüge der Verletzung des rechtlichen Gehörs zu sehen ist. Aufgrund der Stellung des Begehrens als Eventualbegehren und der Platzierung der dazugehörenden Erörterungen vor dem Wegeweisungsvollzugspunkt, geht das Gericht aber davon aus, genanntes Begehren werde in diesem Zusammenhang gestellt. Hierzu gilt es festzuhalten, dass Fachwissen als solches wie etwa Kenntnisse über das Herkunftsland nicht ediert werden kann. Eine Offenlegung bzw. Auflistung sämtlicher verwendeter Quellen in Verfügungen ist im Verwaltungsverfahren denn auch weder üblich noch erforderlich, zumal es sich bei einer Verfügung nicht um eine wissenschaftliche Abhandlung handelt (vgl. dazu statt vieler Urteil des Bundesverwaltungsgerichts E-2410/2012 vom 12. Dezember 2012). Die Vorinstanz hat in der angefochtenen Verfügung in genügender Weise begründet, inwiefern es den Wegweisungsvollzug als durchführbar ansieht. Die Beschwerde selbst zeigt denn auch, dass eine sachgerechte Anfechtung möglich war. Eine Verletzung der Begründungspflicht liegt somit nicht vor und das Eventualbegehren ist abzuweisen. 8.8.1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8.2 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und Art. 33 FK verankerte Grundsatz der Nichtrückschiebung im vorliegenden Verfahren keine Anwendung finden. Eine Rückkehr der Beschwerde­führenden in den Heimatstaat ist demnach unter dem Aspekt von Art. 5 AsylG rechtmässig. Sodann ergeben sich weder aus den Aussagen der Beschwerdeführerin noch aus den Akten Anhaltspunkte dafür, dass sie oder ihr Enkel für den Fall einer Ausschaffung nach Guatemala dort mit beachtlicher Wahrscheinlichkeit einer nach Art. 3 EMRK oder Art. 1 FoK verbotenen Strafe oder Behandlung ausgesetzt wären. Gemäss der Praxis des Europäischen Gerichtshofes für Menschenrechte (EGMR) sowie jener des UN-Anti-Folterausschusses müsste die Beschwerdeführerin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Dieser Einschätzung steht auch die gesundheitliche Situation des Enkels der Beschwerdeführerin nicht entgegen. Zwar kann gemäss der Praxis des EGMR der Vollzug der Wegweisung eines abgewiesenen Asylsuchenden mit gesundheitlichen Problemen im Einzelfall einen Verstoss gegen Art. 3 EMRK darstellen; hierfür sind jedoch ganz aussergewöhnliche Umstände vorausgesetzt (vgl. EMARK 2005 Nr. 23 E. 5.1 S. 211 f., mit einer Zusammenfassung der Rechtsprechung des EGMR). Vorliegend sind solche ganz aussergewöhnliche Umstände auszuschliessen (vgl. BVGE 2009/2 E. 9.1.3). Alleine aus der allgemeinen Sicherheitssituation in Guatemala lässt sich zudem vorliegend kein aktuelles Risiko von Folter oder unmenschlicher oder erniedrigender Strafe oder Behandlung herleiten. Selbst das Vorliegen einer allgemein schlechten Menschenrechtslage genügt nämlich noch nicht für die Annahme einer drohenden Verletzung von Art. 3 EMRK (vgl. EMARK 2001 Nr. 16 E. 6.a S. 122, mit zahlreichen Hinweisen). Nach dem Gesagten ist der Vollzug der Wegweisung sowohl im Sinne der asyl- als auch der völkerrechtlichen Bestimmungen zulässig. Der Enkel der Beschwerdeführerin unterliegt den Normen des Übereinkommens vom 20. November 1989 über die Rechte des Kindes (KRK; SR 0.107). Das Kindeswohl gemäss Art. 3 KRK und die aus der KRK fliessenden Rechte hinsichtlich des Schulbesuchs (Art. 28 KRK) sowie bezüglich seines Gesundheitszustandes (Art. 23 KRK) sind jedoch im Rahmen der Zumutbarkeitsprüfung von Art. 83 Abs. 4 AuG als gewichtiger Aspekt zu berücksichtigen (vgl. EMARK 1998 Nr. 13 E. 5e.aa S. 98 f.). 8.3 8.3.1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8.3.2 Der Begriff der "konkreten Gefährdung" gemäss Art. 83 Abs. 4 AuG ist eng auszulegen und bezieht sich vorab auf einen schwerwiegenden Eingriff in die körperliche Integrität des Ausländers. Art. 83 Abs. 4 AuG findet insbesondere Anwendung auf Personen, die nach ihrer Rückkehr einer konkreten Gefahr ausgesetzt wären, weil sie aus objektiver Sicht wegen der vorherrschenden Verhältnisse mit grosser Wahrscheinlichkeit unwiederbringlich in völlige Armut gestossen würden, dem Hunger und somit einer ernsthaften Verschlechterung ihres Gesundheitszustandes, der Invalidität oder gar dem Tod ausgeliefert wären (vgl. die Rechtsprechung der ARK in EMARK 2006 Nr. 10 E. 5.1, mit weiteren Hinweisen). 8.3.3 Vorliegend ist der Vollzug der Wegweisung für die Beschwerdeführenden als zumutbar zu erachten, weil keine Hinweise dafür erkennbar sind, sie wären bei einer Rückkehr nach Guatemala einer konkreten Gefährdung im genannten Sinne ausgesetzt. Das Bundesverwaltungsgericht erachtet den Wegweisungsvollzug nach Guatemala gestützt auf die allgemeine Lage, die - einschlägigen Berichten gemäss (vgl. bspw. international Crisis Group, Police Reform in Guatemala: Obstacles and Opportunities vom 20. Juli 2012, S. 15, unter: www.unhcr.org/refworld/docid/ 500fe7801.html, abgerufen am 10. Januar 2013) - gebietsweise zwar von Raubüberfällen, Lösegelderpressung, Korruption und hoher Gewaltbereitschaft sowie weitverbreitetem Besitz von Schusswaffen gekennzeichnet ist, für Personen, die zeitlebens dort gewohnt haben, als generell zumutbar. Eine andere Einschätzung mit Bezug auf die Herkunftsregion der Beschwerdeführenden lässt sich nicht zureichend abstützen. 8.3.4 Die heute bald (...)-jährige Beschwerdeführerin stammt eigenen Angaben gemäss aus Guatemala, wo sie Zeit ihres Lebens wohnhaft war und wo auch ihre Geschwister ([...] [vgl. Akten BFM A 2/10 S. 3]) leben. Sie verfügt somit über ein familiäres Beziehungsnetz, das als tragfähig zu erachten ist. Aufgrund ihrer früheren Tätigkeit als (...) kann zudem davon ausgegangen werden, dass sie auch Freunde und Kollegen hat, auf die sie allenfalls zurückgreifen kann. Aufgrund ihres kulturellen Hintergrundes und den Akten zufolge ist zudem davon auszugehen, dass sie mit dem Justizsystem und den Behörden in ihrem Heimatland vertraut ist. Ferner muss davon ausgegangen werden, dass die Beschwerdeführerin wirtschaftlich gut gestellt ist, ansonsten sie kaum in den Fokus (...) geraten wäre. Aufgrund ihrer Wohnortswechsel hat die Beschwerdeführerin überdies Flexibilität gezeigt, weshalb den Beschwerdeführenden zugemutet werden kann, in eine andere Region Guatemalas zu ziehen, sollten sie erneut Opfer von Erpressungen werden. Ob die Beschwerdeführerin anlässlich ihrer Rückkehr nach G._______ im November 2009 ihre Mietwohnung tatsächlich gekündigt respektive übergeben hat (vgl. A 2/10 S. 6), lässt sich den Akten nicht entnehmen, zumal sie (im Rahmen ihrer Mitwirkungspflicht gemäss Art. 8 AsylG) keine entsprechenden Beweismittel eingereicht hat. Jedenfalls ist davon auszugehen, dass sie bei ihrer Rückkehr nach Guatemala zu ihren dort lebenden Familienangehörigen gehen kann, welche sie in einer ersten Phase unterstützen können. Schliesslich ist davon auszugehen, dass die Beschwerdeführenden auf die Unterstützung ihrer in Europa lebenden Angehörigen - zumindest in finanzieller Hinsicht - zählen können. 8.3.5 Darüber hinaus ist festzuhalten, dass Gründe ausschliesslich medizinischer Natur den Wegweisungsvollzug im Allgemeinen nicht als unzumutbar erscheinen lassen, es sei denn, die erforderliche Behandlung sei wesentlich und im Heimatland nicht erhältlich (vgl. EMARK 2003 Nr. 24 E. 5b S. 157 f.). Auf Unzumutbarkeit des Vollzugs der Wegweisung aufgrund einer medizinischen Notlage kann nur dann geschlossen werden, wenn eine notwendige medizinische Behandlung im Heimatland nicht zur Verfügung steht und die Rückkehr zu einer raschen und lebensgefährdenden Beeinträchtigung des Gesundheitszustandes der betroffenen Person führen würde. Als wesentlich gilt dabei die allgemeine und dringende medizinische Behandlung,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Gemäss dem am 19. Juli 2012 zu den Akten gereichten ärztlichen Bericht vom 25. April 2012 leidet B._______ unter einer (...) (ICD-10 [...]). Nach Kenntnissen des Bundesverwaltungsgerichts verfügt Guatemala - und insbesondere Guatemala City - über eine spezialisierte medizinische Infrastruktur und unter anderem seit Februar 2012 über ein Kinderspital, so dass sich B._______ auch dort - sofern zum heutigen Zeitpunkt noch notwendig - behandeln lassen könnte. Zudem ist nicht davon auszugehen, dass eine Rückkehr nach Guatemala zu einer ernsthaften Verschlechterung der gesundheitlichen Verfassung des Enkelkindes führen würde. Schliesslich ist zu betonen, dass allein der Umstand, dass im Herkunfts- oder Heimatland eine allenfalls nicht dem schweizerischen Standard entsprechende medizinische Behandlung möglich ist, nicht grundsätzlich gegen die Zumutbarkeit des Wegweisungsvollzugs spricht (vgl. BVGE 2009/2 E. 9.3.2). Überdies steht es der Beschwerdeführerin offen, bei Bedarf um Gewährung medizinischer Rückkehrhilfe gemäss Art. 93 Abs. 1 Bst. d AsylG i.V.m. Art. 75 der Asylverordnung 2 vom 11. August 1999 über Finanzierungsfragen [AsylV 2, SR 142.312]) für ihren Enkel zu ersuchen, worunter auch die Medikamentenabgabe fällt. Insgesamt ist nicht auf eine konkrete Gefährdung in Form einer medizinischen Notlage gemäss Art. 83 Abs. 4 AuG zu schliessen. 8.3.6 Schliesslich gilt es festzuhalten, dass auch das Kindeswohl im Sinne von Art. 3 Abs. 1 der Konvention vom 20. November 1989 über die Rechte des Kindes (KRK, SR 0.107) nicht gegen einen Vollzug der Wegweisung spricht, zumal - wie bereits festgehalten - die gesundheitlichen Beschwerden des Beschwerdeführers auch in seinem Heimatland behandelbar sind und er dort die Schule besuchen kann. Da der Enkel der Beschwerdeführerin in seinem Heimatland den Schulunterricht in seiner Muttersprache Spanisch besuchen und eine medizinische Behandlung in Form einer (...) erhalten kann, ist der Vollzug der Wegweisung mit der KRK grundsätzlich vereinbar und verstösst nicht gegen das Kindeswohl, zumal er mit seiner Grossmutter zurückkehren kann, bei welcher er aufwuchs und immer zusammen war (vgl. Beschwerde S. 10). Schliesslich kann den vorgebrachten medizinischen Problemen des Enkels beim Vollzug der Wegweisung auch durch sorgfältige Vorbereitung der Ausreise und Wahl geeigneter Vollzugsmodalitäten Rechnung getragen werden. Nach dem Gesagten erweist sich der Vollzug der Wegweisung als zumutbar. 8.4 Schliesslich verfügen die Beschwerdeführenden über gültige Reisepässe weshalb der Vollzug der Wegweisung auch als möglich zu bezeichnen ist (Art. 83 Abs. 2 AuG). 9.Zusammenfassend hat die Vorinstanz den Wegweisungsvollzug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11</w:t>
      </w:r>
    </w:p>
    <w:p>
      <w:r>
        <w:t>Bei diesem Ausgang des Verfahrens sind die Kosten von Fr. 600. den Beschwerdeführenden aufzuerlegen (Art. 63 Abs. 1 VwVG, Art. 1-3 des Reglements vom 21. Februar 2008 über die Kosten und Entschädigungen vor dem Bundesverwaltungs­gericht [VGKE, SR 173.320.2]) und mit dem am 19. September 2011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