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E-4660/2010 vom 13. Dezember 2011</w:t>
      </w:r>
    </w:p>
    <w:p>
      <w:r>
        <w:t>Bundesverwaltungsgericht, 2011-12-13, DE</w:t>
      </w:r>
    </w:p>
    <w:p>
      <w:r>
        <w:rPr>
          <w:b/>
        </w:rPr>
        <w:t xml:space="preserve">Quelle: </w:t>
      </w:r>
      <w:r>
        <w:t>https://mcp.opencaselaw.ch/entscheid/bvger_E-4660_2010</w:t>
      </w:r>
    </w:p>
    <w:p>
      <w:r>
        <w:t>FR: TAF E-4660/2010 du 13 décembre 2011</w:t>
      </w:r>
    </w:p>
    <w:p>
      <w:r>
        <w:t>IT: TAF E-4660/2010 del 13 dicembre 2011</w:t>
      </w:r>
    </w:p>
    <w:p>
      <w:pPr>
        <w:pStyle w:val="Heading2"/>
      </w:pPr>
      <w:r>
        <w:t>Regeste</w:t>
      </w:r>
    </w:p>
    <w:p>
      <w:r>
        <w:t>Asyl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lehnte das Asylgesuch ab, da die Vorbringen des Beschwerdeführers weder den Anforderungen an die Flüchtlingseigenschaft gemäss Art. 3 AsylG noch denjenigen an das Glaubhaftmachen gemäss Art. 7 AsylG standhalten würden. Zur Begründung führte es aus, bezüglich der zwei eintägigen Festnahmen im Jahre 1999 und 2006 sei der zeitliche sowie sachliche Kausalzusammenhang zwischen den beiden Ereignissen und der Ausreise nicht mehr gegeben. Zur Unglaubhaftigkeit der Vorbringen führte die Vorinstanz aus, es entspreche grundsätzlich nicht dem Vorgehen des sri-lankischen Staates, LTTE-Angehörige als G._______ im Staatsdienst zu beschäftigen. Hätten die staatlichen Organe den Beschwerdeführer sodann tatsächlich der LTTE-Mitgliedschaft bezichtigt, so hätten sie effizientere Massnahmen gegen ihn ergriffen, statt ihn täglich (...) zu stören und ihn ständig zu befragen. Ferner habe sich der Beschwerdeführer unvereinbar darüber geäussert, ob er unmittelbar vor der Ausreise festgenommen worden sei.</w:t>
      </w:r>
    </w:p>
    <w:p>
      <w:r>
        <w:rPr>
          <w:b/>
        </w:rPr>
        <w:t>E. 6.2</w:t>
      </w:r>
    </w:p>
    <w:p>
      <w:r>
        <w:t>In der Rechtsmitteleingabe wird ausgeführt, der Beschwerdeführer sei wöchentlich in H._______ und zu Hause auf blossstellende und erniedrigende Art und Weise von der Polizei und dem CID schikaniert, überwacht und unter Druck gesetzt worden. Dabei seien ihm immer wieder dieselben Fragen bezüglich seiner Herkunft, seiner Familie und seiner LTTE-Verbindungen gestellt worden. Es sei eine Tatsache, dass immer wieder junge, aus Jaffna stammende tamilische Männer in C._______ entführt worden seien. Beim Beschwerdeführer komme hinzu, dass er zwei Trainings bei der LTTE absolviert habe. Sodann sei er von lokalen LTTE-Leuten unter Druck gesetzt worden, für sie Waffen zu verstecken. Diese gesamte Situation hätten zu einem für ihn letztlich nicht mehr erträglichen psychischen Druck geführt. Zur Glaubhaftigkeit wird ausgeführt, bei einer Gesamtwürdigung der Aussagen des Beschwerdeführers könne nicht von wirklichen Widersprüchen ausgegangen werden. Bei beiden Befragungen habe er dasselbe gemeint, indes mit anderen Worten ausgedrückt. Mit "Festnahme" habe er nicht eine eigentliche Verhaftung, sondern eine der unzähligen polizeilichen oder geheimdienstlichen Befragungen gemeint. Selbst wenn davon auszugehen wäre, dass der sri-lankische Staat keine unter LTTE-Verdacht stehende Personen einstelle, so sei zu berücksichtigen, dass der Beschwerdeführer über eine besondere Ausbildung verfüge und dessen Kenntnisse besonders gefragt gewesen seien. Schliesslich mache die Vorgehensweise der heimatlichen Behörden durchaus Sinn, gehe es doch die um psychologische Zermürbung der tamilischen Minderheit.</w:t>
      </w:r>
    </w:p>
    <w:p>
      <w:r>
        <w:rPr>
          <w:b/>
        </w:rPr>
        <w:t>E. 6.3</w:t>
      </w:r>
    </w:p>
    <w:p>
      <w:r>
        <w:t>In der Rechtsmitteleingabe hält der Beschwerdeführer daran fest, er sei in der geltend gemachten Art und Weise seitens der heimatlichen Behörden schikaniert, befragt, überwacht und unter Druck gesetzt worden. Dem ist entgegenzuhalten, dass der sri-lankische Staat den Beschwerdeführer wohl kaum als G._______ eingestellt hätte, wenn er ihn ernsthaft der Unterstützung der LTTE verdächtigt hätte. Vor diesem Hintergrund erscheint daher der geltend gemachte Aufwand zur Überwachung und zur Einschüchterung des Beschwerdeführers seitens der heimatlichen Behörden als wesentlich übersteigert dargestellt. Überdies steht er in keinem Verhältnis zu der über zwei Jahre zurückliegenden, erzwungenen, lediglich zweiwöchigen Ausbildung durch die LTTE, welche im Übrigen gemäss den Angaben des Beschwerdeführers damals alle aus seiner Region stammenden jungen Männer beziehungsweise alle G._______ durchlaufen mussten. Weiter ist festzuhalten, dass den heimatlichen Behörden, hätten sie den Beschwerdeführer tatsächlich der Unterstützung der LTTE verdächtigt, wesentlich weniger aufwendige Massnahmen zu seiner Überwachung zur Verfügung gestanden hätten. Insoweit bestehen erhebliche Zweifel an den geltend gemachten Vorbringen des Beschwerdeführers. Diese werden weiter durch Unstimmigkeiten in den Vorbringen des Beschwerdeführers bekräftigt. So führte er anlässlich der Erstbefragung an, er sei am Samstag vor der Ausreise verhaftet worden (vgl. Akten BFM A1 S. 5). Demgegenüber verneinte er anlässlich der Anhörung ausdrücklich, in C._______ je verhaftet worden zu sein (vgl. BFM A12 S. 8). Entgegen der in der Rechtsmitteleingabe vertretenen Ansicht handelt es sich dabei um ein wesentliches und einprägsames Vorkommnis in der Asylbegründung des Beschwerdeführers, welches sich überdies kurz vor der Ausreise zugetragen hat. Sodann vermag der Erklärungsversuch in der Beschwerdeschrift betreffend Wortwahl in Anbetracht der eindeutigen Aussagen des Beschwerdeführers anlässlich der Befragungen nicht zu überzeugen. Demnach ist es dem Beschwerdeführer nicht gelungen, die behördlichen Behelligungen im geltend gemachten Umfang glaubhaft darzutun. Damit ist der Argumentation in der Beschwerde betreffend psychologische Zermürbungstaktik durch die sri-lankischen Behörden sowie des angeführten unerträglichen psychischen Druckes die Grundlagen entzogen. Schliesslich vermag der Beschwerdeführer auch aus dem Umstand, dass in Sri Lanka in der Vergangenheit G._______ spurlos verschwunden sind, nichts zu seinen Gunsten abzuleiten. Nachdem es dem Beschwerdeführer nicht gelungen ist, seine Asylvorbringen glaubhaft darzutun, erübrigt es sich, auf die weiteren Ausführungen, insbesondere diejenigen zur Flüchtlingseigenschaft sowie die angebotenen Beweismittel, weiter einzugehen.</w:t>
      </w:r>
    </w:p>
    <w:p>
      <w:r>
        <w:rPr>
          <w:b/>
        </w:rPr>
        <w:t>E. 6.4</w:t>
      </w:r>
    </w:p>
    <w:p>
      <w:r>
        <w:t>Zusammenfassend ist festzustellen, dass der Beschwerdeführer keine Gründe nach Art. 3 AsylG nachweisen oder glaubhaft machen konnte. Die Vorinstanz hat die Flüchtlingseigenschaft demnach zu Recht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 Art. 32 der Asylverordnung 1 vom 11. August 1999 über Verfahrensfragen [AsylV 1, SR 142.311]).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BFM hat in der angefochtenen Verfügung, ausgehend von der Situation im Jahr 2009, festgestellt, eine Rückkehr des Beschwerdeführers in den Norden Sri Lankas sei wegen des Bürgerkriegs und der herrschenden Sicherheits- und Menschenrechtssituation nicht zumutbar. Der Beschwerdeführer könne aber gestützt auf die mit seiner Staatsagehörigkeit verbundenen Niederlassungsfreiheit in einem anderen Teil seines Heimatlandes Wohnsitz nehmen, beispielsweise in der West- oder Zentralprovinz, wo er von 2004 bis zu seiner Ausreise bereits gelebt habe. Zwar gebe es in diesen Regionen strenge Sicherheitskontrollen, es sei aber davon auszugehen, dass sich die dortige Sicherheitslage mit der Beendigung des Krieges stabilisieren und allmählich verbessern werde. Der Vollzug der Wegweisung sei daher zumutbar.</w:t>
      </w:r>
    </w:p>
    <w:p>
      <w:r>
        <w:rPr>
          <w:b/>
        </w:rPr>
        <w:t>E. 8.4.2</w:t>
      </w:r>
    </w:p>
    <w:p>
      <w:r>
        <w:t>Es ist zudem festzuhalten, dass bereits im Zeitpunkt der Beschwerdeerhebung eine Rückkehr des Beschwerdeführers in den Heimatstaat aufgrund der damals geltenden Rechtsprechung des Bundesverwaltungsgerichts (BVGE 2008/2) zumutbar war. Der Beschwerdeführer hielt sich vor der Ausreise während rund eineinhalb Jahren freiwillig in C._______ (Zentralprovinz) auf und war dort berufstätig. Aufgrund seiner damaligen beruflichen Tätigkeit als G._______ war zudem bereits damals davon auszugehen, dass er dort über ein genügendes soziales Beziehungsnetz verfügte.</w:t>
      </w:r>
    </w:p>
    <w:p>
      <w:r>
        <w:rPr>
          <w:b/>
        </w:rPr>
        <w:t>E. 8.4.3</w:t>
      </w:r>
    </w:p>
    <w:p>
      <w:r>
        <w:t>Angesichts der seither veränderten Situation nach dem Bürgerkrieg hat das Bundesverwaltungsgericht im zur Publikation vorgesehenen Urteil BVGE E-6220/2006 vom 27. Oktober 2011 eine Neubeurteilung der Lage in Sri Lanka vorgenommen. Dabei hat es festgestellt, dass sich seit Beendigung des militärischen Konflikts zwischen der sri-lankischen Armee und den LTTE im Mai 2009 die Sicherheitslage erheblich verbessert und stabilisiert hat. Die LTTE wurden militärisch vernichtend geschlagen von ihr geht heute keine Verfolgung mehr aus. Der Wegweisungsvollzug ist daher grundsätzlich zumutbar hinsichtlich des gesamten Gebiets der Ostprovinz und auch hinsichtlich der Nordprovinz, dort allerdings mit Ausnahme des Vanni-Gebiets (geografisch definiert in E. 13.2.2.). Bei Personen, deren letzter Aufenthalt in der Nordprovinz längere Zeit zurückliegt, sind bei der Prüfung der Zumutbarkeit die aktuellen Lebens- und Wohnverhältnisse sowie das Vorhandensein begünstigender Faktoren (Existenz eines tragfähigen Beziehungsnetzes, Sicherung des Existenzminimums und der Wohnsituation) in Betracht zu ziehen. Für die aus dem Vanni-Gebiet stammenden Personen ist die Wohnsitzverlegung in einen der anderen Landesteile Sri Lankas, welche allesamt grundsätzlich als zumutbare Aufenthaltsalternative gelten, zu prüfen.</w:t>
      </w:r>
    </w:p>
    <w:p>
      <w:r>
        <w:rPr>
          <w:b/>
        </w:rPr>
        <w:t>E. 8.4.4</w:t>
      </w:r>
    </w:p>
    <w:p>
      <w:r>
        <w:t>Der Beschwerdeführer stammt aus B._______ (Jaffna, Nordprovinz). Von 2004 bis 2006 lebte und studierte er in D._______ (Ostprovinz). Im Jahre 2007 übersiedelte er gemäss seinen Angaben freiwillig, und insbesondere ohne das Vorliegen eines Beziehungsnetzes, nach C._______ (Zentralprovinz). Vor diesem Hintergrund ist davon auszugehen, dass er sich sowohl in D._______ als auch in C._______ auskennt und auch heute noch - im Gegensatz zur seiner damals erstmaligen Wohnsitznahme - an beiden Orten über soziale Kontakte verfügt, auf welche er bei einer Rückkehr zurückgreifen kann. Zudem verfügt der Beschwerdeführer über eine Ausbildung als E._______ sowie mehrjährige diesbezügliche Berufserfahrung. Laut den Ausführungen in der Rechtsmitteleingabe war er seinerzeit aufgrund seiner besonderen Ausbildung als G._______ sehr gefragt. Den Akten sind keine Hinweise zu entnehmen, dass dem heute anders wäre, mithin ist davon auszugehen, dass er bei einer Heimkehr wieder eine eigene Existenz aufbauen kann. Vor diesem Hintergrund ist eine Rückkehr des Beschwerdeführers sowohl nach D._______ als auch nach C._______ ohne weiteres zumutbar. Bei dieser Sachlage kann offenbleiben, ob darüber hinaus die Kriterien einer zumutbaren Rückkehr des Beschwerdeführers in seine Herkunftsregion Jaffna erfüllt wären. Entgegen der in der Rechtsmitteleingabe vertretenen Ansicht erweist sich der Vollzug der Wegweisung somit insgesamt als zumutbar.</w:t>
      </w:r>
    </w:p>
    <w:p>
      <w:r>
        <w:rPr>
          <w:b/>
        </w:rPr>
        <w:t>E. 8.5</w:t>
      </w:r>
    </w:p>
    <w:p>
      <w:r>
        <w:t>Der Beschwerdeführer ist im Besitze einer sri-lankischen Identitätskarte,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sind die Kosten von Fr. 600.- dem Beschwerdeführer aufzuerlegen (Art. 63 Abs. 1 VwVG) und mit dem am 14. Juli 2010 in gleicher Höhe geleisteten Kostenvorschuss zu verrechnen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