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E-465/2020 vom 20. März 2020</w:t>
      </w:r>
    </w:p>
    <w:p>
      <w:r>
        <w:t>Bundesverwaltungsgericht, 2020-03-20, DE</w:t>
      </w:r>
    </w:p>
    <w:p>
      <w:r>
        <w:rPr>
          <w:b/>
        </w:rPr>
        <w:t xml:space="preserve">Quelle: </w:t>
      </w:r>
      <w:r>
        <w:t>https://mcp.opencaselaw.ch/entscheid/bvger_E-465_2020</w:t>
      </w:r>
    </w:p>
    <w:p>
      <w:r>
        <w:t>FR: TAF E-465/2020 du 20 mars 2020</w:t>
      </w:r>
    </w:p>
    <w:p>
      <w:r>
        <w:t>IT: TAF E-465/2020 del 20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Asylverfahren wird vom Untersuchungsgrundsatz beherrscht (Art. 12 VwVG i.V.m. Art. 6 AsylG). Die Behörden sind verpflichtet, von Amtes wegen für die richtige und vollständige Abklärung des rechtserheblichen Sachverhaltes zu sorgen. Die Sachverhaltsfeststellung ist unrichtig,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Rz. 1043). Die asylsuchende Person hat auf der anderen Seite gemäss Art. 8 AsylG eine Pflicht, an der Feststellung des Sachverhalts mitzuwirken. Sofern die gesetzlichen Mitwirkungspflichten nicht verletzt worden sind, muss die Behörde namentlich dann weitere Abklärungen ins Auge fassen, wenn aufgrund der Vorbringen der asylsuchenden Person oder der eingereichten oder angebotenen Beweismittel Zweifel und Unsicherheiten am Sachverhalt weiterbestehen, die voraussichtlich mit Ermittlungen von Amtes wegen beseitigt werden können (vgl. BVGE 2015/10 E. 3.2 m.w.H.)</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Eng damit zusammen hängt naturgemäss die Pflicht der Behörde, ihren Entscheid zu begründen (Art. 35 Abs. 1 VwVG). Denn ob sich die Behörde tatsächlich mit allen erheblichen Vorbringen der Parteien befasst und auseinandergesetzt hat, lässt sich erst aufgrund der Begründung erkennen. Im Asylverfahren sind die Anforderungen an die Begründungsdichte regelmässig hoch, wiegen die rechtlich geschützten Interessen der Betroffenen im Asylentscheid doch allgemein schwer (Patrick Sutter, in: Kommentar VwVG, 2008, Art. 32 VwVG, Rz. 2). Nicht erforderlich ist, dass sich die Begründung mit allen Parteistandpunkten einlässlich auseinandersetzt und jedes einzelne Vorbringen ausdrücklich widerlegt (vgl. BGE 143 III 65 E. 5.2).</w:t>
      </w:r>
    </w:p>
    <w:p>
      <w:r>
        <w:rPr>
          <w:b/>
        </w:rPr>
        <w:t>E. 4</w:t>
      </w:r>
    </w:p>
    <w:p>
      <w:r>
        <w:t>Zunächst ist auf die verfahrensrechtlichen Mängel einzugehen, da sie allenfalls geeignet wären, eine Kassation der vorinstanzlichen Verfügung zu bewirken.</w:t>
      </w:r>
    </w:p>
    <w:p>
      <w:r>
        <w:rPr>
          <w:b/>
        </w:rPr>
        <w:t>E. 4.1</w:t>
      </w:r>
    </w:p>
    <w:p>
      <w:r>
        <w:t>Der Beschwerdeführer rügt in seiner Rechtsmitteleingabe, die Vor-instanz habe seine eingereichten Beweismittel nicht hinreichend gewürdigt. In den vorinstanzlichen Akten befinden sich zahlreiche Beweismittel sowie eine schriftliche Eingabe des Beschwerdeführers vom 4. September 2019 und vom 17. Dezember 2019 (welche allerdings erst nach Erlass der Verfügung beim SEM eingegangen ist), welche nicht in eine Amtssprache des Bundes (vgl. Art. 70 Abs. 1 BV sowie Art. 33a Abs. 1 und 4 VwVG) übersetzt wurden. Weder forderte die Vorinstanz den Beschwerdeführer unter Hinweis auf seine Mitwirkungspflicht auf, für Übersetzungen der Unterlagen besorgt zu sein, noch kümmerte sie sich selber um die Übersetzung der Unterlagen von Amtes wegen - und seien es nur deren wesentlichen Passagen; es liegen nicht einmal Übersetzungen in einer zusammenfassenden Kurzversion vor. In der Anhörung vom 21. Mai 2019 wurde der Beschwerdeführer zwar aufgefordert, den Inhalt des eingereichten Emailaustausches sowie des WhatsApp-Auszugs und der Twitter-Auszüge wiederzugeben (SEM Akte 1039493-19/19, F24 ff.). Ob sich daraus asylrelevante Elemente ergeben, lässt sich indes aus seinen Aussagen nicht beurteilen. Die weiteren Beweismittel blieben gänzlich unübersetzt. Aus den spanischen Akten (ein Aktenstück ist in der Sprache von B._______) lassen sich für eine Person, die des Spanischen (bzw. der Sprache von B._______) nicht mächtig ist, die entscheidrelevanten Informationen nicht entnehmen, womit für das Gericht eine sachgerechte Beurteilung des Sachverhaltes und der angefochtenen Verfügung nicht möglich ist (vgl. statt vieler Urteil des BVGer E-414/2013 vom 21. März 2013, E.6.2). Um eine Einschätzung vornehmen zu können, ob ein Beweismittel als wesentlich zu erachten ist, ist unabdingbar, dass vorab zumindest summarisch dessen Inhalt und die zentralen Punkte einer Eingabe bestimmt wird (Art. 32 VwVG). Vorliegend lässt sich insbesondere nicht beurteilen, ob sich aus dem Kündigungsschreiben, dem E-Mailaustausch, den Twitternachrichten sowie den beiden vom Beschwerdeführer eingereichten Schreiben vom 4. September 2019 und vom 17. Dezember 2019 asylrelevante Elemente ergeben. Es kann offenkundig nicht Aufgabe der Rechtsmittelinstanz sein, sich vorab um die Übersetzung vorinstanzlicher Akten zu kümmern. Ausserdem hätte die Vorinstanz, um ihrer Begründungspflicht hinreichend nachzukommen, die eingereichten Beweismittel in Bezug auf ihre Erheblichkeit für das vorliegende Verfahren zumindest summarisch in der Verfügung würdigen müssen. In der angefochtenen Verfügung werden die eingereichten Beweismittel lediglich (unvollständig) im Sachverhalt aufgeführt - wobei das vom Beschwerdeführer eingereichte Schreiben vom 4. September 2019 (SEM Akte 1039493-32/6) inklusive Beilagen nicht erwähnt wird. In den Erwägungen wird indes - mit Ausnahme des Strafregisterauszugs - kein Bezug mehr auf die Beweismittel genommen und diese werden nicht gewürdigt. Demnach hat die Vorinstanz den rechtserheblichen Sachverhalt nicht richtig erstellt und ihre Begründungspflicht verletzt, was in einer Verletzung des rechtlichen Gehörs des Beschwerdeführers resultierte.</w:t>
      </w:r>
    </w:p>
    <w:p>
      <w:r>
        <w:rPr>
          <w:b/>
        </w:rPr>
        <w:t>E. 4.2</w:t>
      </w:r>
    </w:p>
    <w:p>
      <w:r>
        <w:t>Des Weiteren hat sich die Vorinstanz nicht mit der aktuellen Lage in Venezuela auseinandergesetzt und hat den Sachverhalt auch in Bezug auf die Zumutbarkeit des Wegweisungsvollzugs nicht hinlänglich erstellt. In ihrer ablehnenden Verfügung stützt sich die Vorinstanz auf das Urteil des Bundesverwaltungsgericht D-2194/2017 vom 27. April 2017, aus welchem hervorgehe, dass es in Venezuela keine landesweite Situation allgemeiner Gewalt gebe, welche der Zumutbarkeit des Wegweisungsvollzugs generell entgegenstehen würde. Dieses Urteil erging vor über zweieinhalb Jahren. Inzwischen hat sich die Lage in Venezuela jedoch wesentlich verschärft. In der Beschwerde wurde treffend darauf hingewiesen, dass verschiedenen Berichten zur Situation der Menschenrechte in Venezuela zu entnehmen ist, dass die Anzahl derjenigen, die gezwungen waren, Venezuela zu verlassen, seit 2018 dramatisch zugenommen habe und bis Juni 2019 auf über vier Millionen gestiegen sei; hierbei seien «violations of the rights to food and health» die Hauptursachen (vgl. UN Human Rights Council, Report of the United Nations High Commissioner for Human Rights on the situation of Human rights in the Bolivarian Republic of Venezuela [A/HRC/41/18], 05. Juli 2019, Ziff. 13 f. und 69 f., https://www.ohchr.org/EN/HRBodies/HRC/RegularSessions/Session41/Documents/ A_HRC_41_18.docx, abgerufen am 20. Februar 2020). Die Hohe Kommissarin der Vereinten Nationen für Menschenrechte hat am 9. September 2019 berichtet, dass sich seit ihrem Bericht vom 5. Juli 2019 die wirtschaftliche und soziale Situation weiterhin rapide verschlechtere. Das Mindestgehalt betrage derzeit 2 Dollar pro Monat, im Vergleich zu 7 Dollar im Juni 2019, was bedeute, dass eine Familie den Gegenwert von 41 Mindestmonatsgehältern verdienen müsse, um den Grundbedarf decken zu können. Es bestünden ernsthafte Hindernisse in Bezug auf die Verfügbarkeit und wirtschaftliche Zugänglichkeit von Nahrungsmitteln (vgl. Human Rights Council, 42nd Session, Statement by Michelle Bachelet, UN High Commissioner for Human Rights, 9. September 2019, https://www.ohchr.org/EN/NewsEvents/Pages/DisplayNews.aspx?NewsID=24958&amp;LangID=E, abgerufen am 20. Februar 2020). Am 18. Dezember 2019 hielt sie fest, dass das Mindestgehalt zwar wieder gestiegen sei und sich die Nahrungsmittelversorgung verbessert habe. Es könne sich jedoch nur eine Minderheit der Bevölkerung die hohen Nahrungsmittelpreise leisten und das Mindestgehalt könne nur 3.5 Prozent des Bedarfs an Grundnahrungsmitteln (basic food basket) decken (Oral Update on the Situation of Human Rights in the Bolivarian Republic of Venezuela, Informational Session of the Human Rights Council, Michelle Bachelet, UN High Commissioner for Human Rights, 18. Dezember 2019, https://www.ohchr.org/en/NewsEvents/Pages/DisplayNews.aspx?NewsID=25438, abgerufen am 20. Februar 2020). Bereits die Ausführungen der Hohen Kommissarin der Vereinten Nationen für Menschenrechte in den letzten Monaten zeigen die volatile Situation in Venezuela und die erhebliche Verschärfung der Lage in den letzten Jahren. Zudem soll das Land nicht mehr in der Lage sein, Erkrankte adäquat zu behandeln (vgl. zum Ganzen die Urteile des BVGer E-4340/2019 vom 9. September 2019, E.6.3 m.w.H; und D-4465/2019 vom 2. Oktober 2019, E.9.2.1 m.w.H.). Vor diesem Hintergrund ist ein pauschaler Verweis auf ein Urteil des Bundesverwaltungsgerichts aus dem Jahr 2017 nicht angemessen und die Vorinstanz wäre gehalten gewesen, eine aktualisierte Lagebeurteilung vorzunehmen und ihre Einschätzung betreffend die Zumutbarkeit eines Wegweisungsvollzugs umfassender zu begründen. Auch in individueller Hinsicht hat sich die Vorinstanz nicht hinreichend mit der Zumutbarkeit des Wegweisungsvollzugs des Beschwerdeführers nach Venezuela auseinandergesetzt. So hat sie beispielsweise nicht berücksichtigt, dass der Beschwerdeführer seit mehreren Jahren nicht mehr in Venezuela gewohnt hat, und hat sich nicht über ein mögliches tragfähiges Beziehungsnetz in Venezuela geäussert. Die Vorinstanz hat insgesamt weder in genereller noch in individueller Hinsicht eine seriöse Beurteilung der Zumutbarkeit des Wegweisungsvolllzugs nach Venezuela vorgenommen. Dadurch hat sie den Sachverhalt nicht korrekt erstellt und die Begründungspflicht als Teilgehalt des rechtlichen Gehörs verletzt.</w:t>
      </w:r>
    </w:p>
    <w:p>
      <w:r>
        <w:rPr>
          <w:b/>
        </w:rPr>
        <w:t>E. 4.3</w:t>
      </w:r>
    </w:p>
    <w:p>
      <w:r>
        <w:t>Zusammenfassend ist festzustellen, dass die Verfügung formelle Mängel aufweist.</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w:t>
      </w:r>
    </w:p>
    <w:p>
      <w:r>
        <w:rPr>
          <w:b/>
        </w:rPr>
        <w:t>E. 5.2</w:t>
      </w:r>
    </w:p>
    <w:p>
      <w:r>
        <w:t>Das Bundesverwaltungsgericht kommt zum Schluss, dass die Entscheidreife im vorliegenden Verfahren sich nicht mit geringem Aufwand herstellen lässt, weshalb es angezeigt ist, die angefochtene Verfügung gestützt auf Art. 61 Abs. 1 in fine VwVG aufzuheben und die Sache zwecks vollständiger Abklärung des rechtserheblichen Sachverhalts und zur Neubeurteilung an das SEM zurückzuweisen. Es entspricht nicht Sinn und Zweck des Beschwerdeverfahrens vor dem Bundesverwaltungsgericht und es ist nicht dessen Aufgabe, von der Vorinstanz unterlassene Verfahrenshandlungen nachzuholen. Zudem führt eine Verletzung des rechtlichen Gehörs grundsätzlich - das heisst ungeachtet der materiellen Auswirkungen - zur Aufhebung des ergangenen Entscheides. Die Vorinstanz ist anzuweisen, Übersetzungen von den sich in den Akten befindenden spanischen Dokumenten zumindest in summarischer Form zu veranlassen und sich mit der aktuellen Lage in Venezuela auseinanderzusetzen. Aufgrund der ausstehenden Übersetzungen sowie der mangelhaften Sachverhaltsabklärung rechtfertigt sich eine Kassation der angefochtenen Verfügung. Im Übrigen bleibt auf diese Weise der Instanzenzug erhalten, was umso wichtiger ist, als das Bundesverwaltungsgericht letztinstanzlich entscheidet (vgl. BVGE 2007/30 E. 8.2 und 8.3 m.w.H).</w:t>
      </w:r>
    </w:p>
    <w:p>
      <w:r>
        <w:rPr>
          <w:b/>
        </w:rPr>
        <w:t>E. 6</w:t>
      </w:r>
    </w:p>
    <w:p>
      <w:r>
        <w:t>Die Beschwerde ist demnach gutzuheissen, die angefochtene Verfügung aufzuheben, und die Sache im Sinne der Erwägungen an die Vorinstanz zurückzuweisen.</w:t>
      </w:r>
    </w:p>
    <w:p>
      <w:r>
        <w:rPr>
          <w:b/>
        </w:rPr>
        <w:t>E. 7</w:t>
      </w:r>
    </w:p>
    <w:p>
      <w:r>
        <w:t>Bei diesem Ausgang des Verfahrens sind keine Kosten zu erheben (Art. 63 Abs. 1 und 2 VwVG). Damit wird die mit Zwischenverfügung vom 29. Januar 2020 gewährte unentgeltliche Prozessführung nachträglich gegenstandslos.</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Rechtsanwältin Ana Moncada reichte mit Eingabe vom 12. März 2020 eine Kostennote zu den Akten. Dabei machte sie einen Aufwand von 15.5 Stunden bei einem Stundenansatz von 220.- sowie Auslagen für Fotokopien von insgesamt Fr. 25.- geltend. Der verlangte Stundenansatz von 220.- ist reglementskonform (vgl. Art. 10 VGKE) und die Höhe der Auslagen ist angemessen. Die ausgewiesenen Stunden erscheinen jedoch dem Aufwand des Verfahrens nicht angemessen und die Kostennote ist entsprechend zu kürzen. Für das Verfassen der 7-seitigen Beschwerde wird ein Arbeitsaufwand von 4 Stunden als angemessen betrachtet und die entsprechend ausgewiesenen Stunden sind zu kürzen. Die Sichtung der Instruktionsverfügung vom 29. Januar 2020 wird nicht entschädigt und die ausgewiesene Stunde ist zu streichen. Für die folgende Konsultation mit dem Beschwerdeführer und die 2-seitige Beschwerdeergänzung ist ein Aufwand von einer Stunde als angemessen zu betrachten. Der übrige ausgewiesene Arbeitsaufwand erscheint angemessen und das Gericht erachtet demnach für das Beschwerdeverfahren einen Arbeitsaufwand von insgesamt 11 Stunden als angebracht. Dem Beschwerdeführer ist zulasten der Vorinstanz eine Parteientschädigung von insgesamt Fr. 2633.50 (inklusive Mehrwertsteuerzuschlag und Auslagen) zuzusprechen. Der Anspruch auf amtliches Honorar der als amtliche Rechtsbeiständin im Sinne von Art. 102m Abs. 1 Bst. a AsylG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