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E-4654/2010 vom 12. August 2010</w:t>
      </w:r>
    </w:p>
    <w:p>
      <w:r>
        <w:t>Bundesverwaltungsgericht, 2010-08-12, DE</w:t>
      </w:r>
    </w:p>
    <w:p>
      <w:r>
        <w:rPr>
          <w:b/>
        </w:rPr>
        <w:t xml:space="preserve">Quelle: </w:t>
      </w:r>
      <w:r>
        <w:t>https://mcp.opencaselaw.ch/entscheid/bvger_E-4654_2010</w:t>
      </w:r>
    </w:p>
    <w:p>
      <w:r>
        <w:t>FR: TAF E-4654/2010 du 12 août 2010</w:t>
      </w:r>
    </w:p>
    <w:p>
      <w:r>
        <w:t>IT: TAF E-4654/2010 del 12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ablehnende Haltung mit dem Umstand, dass Übergriffe durch Dritte oder Befürchtungen, künftig solchen ausgesetzt zu sein, nur dann asylrelevant seien, wenn der Staat seiner Schutzpflicht nicht nachkomme oder nicht in der Lage sei, Schutz zu gewähren. Der Schutz sei aber generell gewährleistet, wenn der Staat geeignete Massnahmen treffe, um die Verfolgung zu verhindern, beispielsweise durch wirksame Polizei- und Justizorgane zur Ermittlung, Strafverfolgung und Ahndung von Verfolgungshandlungen, und wenn die Antragstellerin Zugang zu diesem Schutz habe. Dies sei im Falle der Türkei und der Beschwerdeführerin gegeben. Die staatliche Infrastruktur funktioniere und sei wirksam. Es könne der Beschwerdeführerin zugemutet werden, sich an die zuständigen Organe zu wenden, um Schutz anzufordern. Zudem bestehe eine innerstaatliche Fluchtalternative. Sie habe bei einem Teil ihrer Verwandtschaft Rückhalt. Weiter habe sie vor der Ausreise mehrere Monate lang unbehelligt in Istanbul gelebt. Somit seien die Angaben der Beschwerdeführerin nicht als in flüchtlingsrechtlicher Hinsicht als relevant zu qualifizieren. Demzufolge sei das Asylgesuch abzulehnen.</w:t>
      </w:r>
    </w:p>
    <w:p>
      <w:r>
        <w:rPr>
          <w:b/>
        </w:rPr>
        <w:t>E. 4.2</w:t>
      </w:r>
    </w:p>
    <w:p>
      <w:r>
        <w:t>In der Beschwerde wird demgegenüber geltend gemacht, die Drohung des gewalttätigen Vaters der Beschwerdeführerin sei ernst zu nehmen. Er habe sich dazu entschlossen, sie wegen Verschmähens des Bräutigams und der Flucht zu töten. Dieser Umstand sei durch das eingereichte Schreiben des (...) bestätigt. Die in H._______ und in (...) lebenden (...) stünden in der Tat nicht hinter dem Vorhaben des Vaters, sie mit einem viel älteren Mann zu verheiraten. Der (...) sei mit einer in der Schweiz als Flüchtling anerkannten Landsfrau verheiratet. Den Einschätzungen dieser glaubwürdigen Personen sei zu folgen. Obwohl die Beschwerdeführerin von diesen Angehörigen unterstützt worden sei, könnte sie nicht mit einer erfolgreichen Rückkehr rechnen. Generell fehlten staatliche und effiziente Mechanismen in der Türkei, um verfolgte Frauen effektiv vor drohender Gewalt zu schützen - dafür gebe es genügend Beispiele. Stets griffen die Behörden, wenn überhaupt, zu spät ein, so geschehen bei Tötungen wegen Nichteingehens einer Zwangsheirat, beim Rachezug eines Familienclans gegen ein Hochzeitsfest nach Verschmähung des Heiratswilligen, bei der Verstümmelung einer Hochschwangeren nach berechtigter Kritik am Fehlverhalten des Ehemanns. Die Türkei und ihre Polizeikräfte seien somit noch nicht durchwegs willens und fähig, Frauen - namentlich solche kurdischer Herkunft - zu schützen. Diverse Organisationen, wie beispielsweise die Menschenrechtsorganisation ACAT (Aktion der Christen für die Abschaffung der Folter), die Schweizer Organisation für Frauenrechte SURGIR, das Hohe Flüchtlingskommissariat (UNHCR), die Organisation Terre des Femmes und weitere Institutionen und Bewegungen könnten über die schlimmen Realitäten in der Türkei berichten. Indem die Beschwerdeführerin sich dem Willen ihres Vaters widersetzt habe und geflüchtet sei, müsse sie bei ihrer allfälligen Rückkehr ein Leben in steter Angst und auf der Flucht führen. Das Wohnen in Frauenhäusern in der Türkei käme dabei nicht in Frage, weil deren Adressen nicht so geheim wie in der Schweiz seien. Würde sie in einer solchen Auffangstation aufgenommen, so dürfte sie sich nicht längerfristig dort aufhalten und wäre nach einem Austritt in der selben Situation wie zuvor. Ausserdem sei das Haus der Sosyal Hizmetler ve Cocuk Esirgeme Kurumu (= Generaldirektorat für Soziale Dienste und Kinderschutz; SHCEK) in H._______ für Strassenkinder gedacht und nicht für gewaltbedrohte Frauen reserviert. Gleichzeitig sei festzustellen, dass Organisationen, welche auf Probleme von Zwangsheirat oder anders gewaltbedrohten Frauen spezialisiert seien, Schwierigkeiten hätten, dauerhafte und tragfähige Lösungen für Opfer zu finden. Zwangsverheiratungen und Gewalt gegen Frauen und Mädchen seien mittlerweile hinreichende Asylgründe; gewaltbetroffenen Frauen mit Migrationshintergrund solle daher ein Bleiberecht gewährt werden. Zudem sei Art. 3 der Konvention vom 4. November 1950 zum Schutze der Menschenrechte und Grundfreiheiten (EMRK, SR 0.101) verletzt. Selbst wenn die Beschwerdeführerin den Bräutigam nachträglich heiraten würde, wäre sie nicht besser gestellt als in früheren Zeiten. G._______ dürfte dem Muster des Vaters entsprechen, denn er pflege offenbar das selbe Gedankengut: Es sei ihm nie in den Sinn gekommen, sich persönlich an seine Braut zu wenden, sich vorzustellen und sie um ihre Hand zu bitten. Somit sei die Situation der Beschwerdeführerin bei einer Rückkehr ins Heimatland vom BFM als zu optimistisch und damit als falsch beurteilt worden.</w:t>
      </w:r>
    </w:p>
    <w:p>
      <w:r>
        <w:rPr>
          <w:b/>
        </w:rPr>
        <w:t>E. 5.1</w:t>
      </w:r>
    </w:p>
    <w:p>
      <w:r>
        <w:t>Vorab wird festgestellt, dass das BFM den rechtserheblichen Sachverhalt in einer rechtsgenüglichen Weise erfasst hat, weshalb das Bundesverwaltungsgericht keine Veranlassung hat, den (...) in H._______ zu kontaktieren. Der entsprechende Beweisantrag im Schreiben vom 24. Juli 2010 ist abzuweisen.</w:t>
      </w:r>
    </w:p>
    <w:p>
      <w:r>
        <w:rPr>
          <w:b/>
        </w:rPr>
        <w:t>E. 5.2</w:t>
      </w:r>
    </w:p>
    <w:p>
      <w:r>
        <w:t>Glaubhaft sind die Vorbringen einer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w:t>
      </w:r>
    </w:p>
    <w:p>
      <w:r>
        <w:rPr>
          <w:b/>
        </w:rPr>
        <w:t>E. 5.3</w:t>
      </w:r>
    </w:p>
    <w:p>
      <w:r>
        <w:t>Das Gericht geht davon aus, dass die zentrale Behauptung der Beschwerdeführerin, wonach ihr Vater sie einem wesentlich älteren, bereits verheirateten Mann zur Frau geben wolle, angesichts ihrer ländlichen und kurdischen Herkunft und aufgrund ihres Sachvortrags glaubhaft sein könnte. Ihre Aussagen bei beiden Befragungen waren in sich weitgehend stimmig, detailreich und plausibel. Es spricht dabei nicht zwingend gegen die Glaubhaftigkeit ihrer Vorbringen, dass sie sich vor der Ausreise ins Ausland noch monatelang bei Verwandten in H._______ und Istanbul aufgehalten und einige der Verwandten in ihre Pläne eingeweiht hat, bedurfte sie doch der Hilfe von Bezugspersonen, um dem Einflussbereich ihres Vaters und allenfalls dem des G._______-Clans - welche Gefahr allerdings nicht geltend gemacht worden ist - zu entkommen. Aufgrund der Akten ist die Beschwerdeführerin in einem ländlichen Umfeld, in einem Dorf in der Provinz H._______ nahe des Ortes (...), aufgewachsen. Sie hat ihre angestammte Heimatregion mit Ausnahme ihrer Studienjahre kaum je verlassen, weshalb sie offensichtlich über kein erweitertes Beziehungsnetz verfügte. Der Umstand, dass sie sich aus Angst vor ihrem Vater planlos auf die Flucht machte und sich anschliessend noch monatelang vor ihrer Ausreise innerhalb der Türkei aufgehalten hat, lässt sich mit den starken innerfamiliären Auseinandersetzungen, der psychischen Einschüchterung durch den brutalen Vater, den bislang eher schwachen Kontakte zu den anderswo lebenden Verwandten und der sporadischen Abwesenheit ihres Vaters erklären. Nicht zu überzeugen vermag hingegen die sinngemässe Darstellung in der Beschwerde, wonach die Beschwerdeführerin aufgrund des Verhaltens ihres Vaters wohl nicht genügend mit der Unterstützung ihrer Verwandten rechnen könne. Gemäss ihren Aussagen verurteilten sämtliche Angehörige, darunter selbst engste Verwandte des Vaters, dessen Vorgehensweise, oder sie zeigten zumindest Verständnis für die Situation der Beschwerdeführerin. Die in Istanbul wohnenden Verwandten und Bekannten befinden sich ausserhalb des Einflussbereichs ihres im ländlichen (...) und der Stadt F._______ lebenden Vaters. Insoweit scheint die Behauptung des (...) (Brief vom 25. Juni 2010), sie werde bei einer Rückkehr in die Türkei, wo der Vater auf ein Feudalsystem mit guten Bekannten und Freunden in der Stadt F._______ zählen könne, angesichts dessen, dass "die Familie ihr Todesurteil beschlossen hatte", keine Sicherheiten mehr im ganzen Land finden, als Gefälligkeitsbestätigung.</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EMARK 2006 Nr. 18 E. 7 und 8, EMARK 2005 Nr. 21 E. 7). Aufgrund der Subsidiarität des flüchtlingsrechtlichen Schutzes setzt die Anerkennung der Flüchtlingseigenschaft zudem voraus, dass die betroffene Person in ihrem Heimatland keinen ausreichenden Schutz finden kann (vgl. BVGE 2008/12 E. 7.2.6.2, BVGE 2008/4 E. 5.2, EMARK 2006 Nr. 18 E. 10, EMARK 2005 Nr. 21 E. 7.3 und E. 11.1, EMARK 2000 Nr. 15 E. 7a). Ausgangspunkt für die Beurteilung der Flüchtlingseigenschaft ist die Frage nach der im Zeitpunkt der Ausreise vorhandenen Verfolgung oder begründeten Furcht vor einer solchen. Entscheidend ist aber die Situation im Zeitpunkt des Asylentscheides. Veränderungen der objektiven Situation im Heimatstaat zwischen Ausreise und Asylentscheid sind deshalb zu Gunsten und zu Lasten der das Asylgesuch stellenden Person zu berücksichtigen (vgl. BVGE 2008/4 E. 5.4, EMARK 2000 Nr. 2 E. 8a).</w:t>
      </w:r>
    </w:p>
    <w:p>
      <w:r>
        <w:rPr>
          <w:b/>
        </w:rPr>
        <w:t>E. 6.2</w:t>
      </w:r>
    </w:p>
    <w:p>
      <w:r>
        <w:t>Begründete Furcht vor Verfolgung liegt vor, wenn konkreter Anlass zur Annahme besteht, es habe im Zeitpunkt der Ausreise eine Verfolgung bestanden beziehungsweise eine solche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Nachteile als wahrscheinlich und dementsprechend die Furcht davor als realistisch und nachvollziehbar erscheinen lassen (vgl. EMARK 2005 Nr. 21 E. 7, EMARK 2004 Nr. 1 E. 6a).</w:t>
      </w:r>
    </w:p>
    <w:p>
      <w:r>
        <w:rPr>
          <w:b/>
        </w:rPr>
        <w:t>E. 6.3.1</w:t>
      </w:r>
    </w:p>
    <w:p>
      <w:r>
        <w:t>Nachteilen, die Frauen zugefügt werden oder zugefügt werden drohen, liegt ein flüchtlingsrechtlich relevantes Motiv im Sinne von Art. 3 Abs. 1 AsylG dann zugrunde, wenn diese Nachteile in diskriminierender Weise an das Merkmal des (weiblichen) Geschlechts anknüpfen (vgl. dazu EMARK 2006 Nr. 32 E. 8). Dies ist etwa der Fall, wenn in Ländern mit weit verbreiteten traditionell-konservativen Wertvorstellungen von Zwangsheirat oder Ehrenmord bedrohte Frauen und Mädchen nicht denselben staatlichen Schutz erhalten, mit dem im Allgemeinen männliche Opfer von privater Gewalt rechnen können (vgl. Urteil D-4289/2006 vom 11. September 2008 E. 6.4).</w:t>
      </w:r>
    </w:p>
    <w:p>
      <w:r>
        <w:rPr>
          <w:b/>
        </w:rPr>
        <w:t>E. 6.3.2</w:t>
      </w:r>
    </w:p>
    <w:p>
      <w:r>
        <w:t>Es stellt sich im Zusammenhang mit der von der Beschwerdeführerin geltend gemachten Absicht ihres Vaters, sie gegen ihren Willen mit einem wesentlich älteren, bereits verheirateten Mann zu vermählen, somit die Frage, ob sie in der Türkei seitens der Behörden und Institutionen Schutz erlangen kann oder ob sie (subsidiär) auf den internationalen Schutz durch Asylgewährung angewiesen ist.</w:t>
      </w:r>
    </w:p>
    <w:p>
      <w:r>
        <w:rPr>
          <w:b/>
        </w:rPr>
        <w:t>E. 6.3.3</w:t>
      </w:r>
    </w:p>
    <w:p>
      <w:r>
        <w:t>Diesbezüglich ist festzustellen, dass die Türkei in den vergangenen Jahren kontinuierlich Schritte zur Verbesserung der rechtlichen und gesellschaftlichen Situation der Frauen im Allgemeinen sowie im Besonderen zu deren Schutz vor Übergriffen mit sozio-kulturellem Hintergrund bis hin zum Ehrenmord unternommen hat. So trat im Jahre 1998 das Familienschutzgesetz Nr. 4320 in Kraft, welches im Jahre 2007 ergänzt wurde und auf Gewaltprävention, Opferschutz sowie Bestrafung von Übergriffen abzielt. Zu diesem Zweck wurden 166 Familiengerichte eingerichtet, von denen derzeit 157 operationell sind; der Zugang zu diesen Gerichten ist für die klagende Partei kostenlos, wie im Übrigen auch die Vollstreckung eines allfälligen Urteils. Mit einer entsprechenden Revision des türkischen Strafgesetzbuches wurden im Jahre 2004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Das Gemeindegesetz Nr. 5393 verpflichtet sodann jede Gemeinde mit über 50'000 Einwohnern zum Aufbau von Schutzeinrichtungen für Frauen und Kinder (vgl. dazu UK Border Agency, Country of Origin Information Report, Turkey, 20. Oktober 2009 [UK-COI], Rz. 22.01-22.66, mit Hinweisen auf weitere Quellen). In Nachachtung dieser neuen gesetzlichen Bestimmungen kam es seither zur Verurteilung mehrerer Männer, die eine Ehrenmord begangen hatten, zu lebenslangen Freiheitsstrafen (vgl. U.S. Department of State, 2009 Human Rights Report: Turkey, 11. März 2010 [US-COI]), Kapital 'Women'). Ferner wurden etliche Frauenhäuser eingerichtet - vom SHCEK derzeit 29 [oder 23] und von nichtstaatlichen Organisationen deren 54 [oder 38] (vgl. US-COI, a.a.O.; UK-COI, Rz. 22.60 [mit den jeweils tieferen Zahlenangaben]). Daneben sind auch verschiedene spezifische nichtstaatliche Organisationen um eine Verbesserung der Stellung der Frau sowie um Unterstützung und Gewährung von Schutz an Opfer innerfamiliärer Gewalt bemüht (vgl. UK-COI, Rz. 22.65 f.); sie arbeiten nach eigenen Angaben gut mit den staatlichen Stellen und den Polizeibehörden zusammen (vgl. auch Necla Kelek, Bittersüsse Heimat, Bericht aus dem Inneren der Türkei, Köln 2008, S. 123, wonach die in Diyarbakir domizilierte Frauenrechtsorganisation Ka-Mer mit Hilfe der Polizei und der Staatsanwaltschaft besonders gefährdete Frauen, in deren Fällen keine Vermittlung mit den sie verfolgenden Verwandten möglich ist, unter einer neuen Identität an einem anderen Ort in der Türkei angesiedelt). Schliesslich werden auch diverse staatliche und private, mit staatlichen Stellen kooperierende Telefon-Hotlines unterhalten - teilweise finanziert von der EU -, wo Rat und Hilfe von Psychologen und Anwälten angeboten wird (vgl. UK-COI, Rz. 22.54 f.).</w:t>
      </w:r>
    </w:p>
    <w:p>
      <w:r>
        <w:rPr>
          <w:b/>
        </w:rPr>
        <w:t>E. 6.3.4</w:t>
      </w:r>
    </w:p>
    <w:p>
      <w:r>
        <w:t>Bei den türkischen Behörden hat mithin in den vergangenen Jahren ein Umdenken in Bezug auf frauenspezifische Schutzanliegen begonnen und erste entsprechende Einrichtungen sind geschaffen wurden; daneben bieten auch verschiedene nichtstaatliche Stellen betroffenen Frauen Unterstützung. Auch wenn die Umsetzung der staatlichen Programme nur langsam vorankommt und die Phänomena der Mehrfachehe (gemäss dem am 1. Juni 2005 in Kraft getretenen türkischen Strafgesetz [Art. 230] ein Delikt), der innerfamiliären Gewalt bis hin zu den so genannten Ehrenmorden nach wie vor virulent ist (vgl. dazu Amnesty International, Jahresberichte 2008 und 2009), ist davon auszugehen, dass sich die Beschwerdeführerin im Staatsgebiet der Türkei nicht in einer ausweglosen Situation befand beziehungsweise befinden wird, mithin auf eine unter dem Sicherheitsaspekt valable innerstaatliche Fluchtalternative zurückgreifen kann. Die Vorbringen der Beschwerdeführerin vermögen demnach den Anforderungen an eine Gefährdung im Sinne von Art. 3 AsylG nicht standzuhalten. Aufgrund der Akten ist zwar davon auszugehen, dass sie zumindest vorderhand - Vermittlungsbemühungen mit ihrem Vater haben offenbar bis jetzt nicht stattgefunden - ihrem Vater aus dem Weg gehen wird, was zu gewissen Einschränkungen in ihrer Lebensführung führt, da sie nicht in ihre Herkunftsregion zurückkehren kann. Es ist aber davon auszugehen, dass die Beschwerdeführerin bei den zuständigen Stellen um Unterstützung nachsuchen kann und - wie schon in der Vergangenheit - bei einem Grossteil ihrer Verwandtschaft weiterhin Rückhalt finden wird, so dass sie sich nicht in einer Bedrohungssituation wiederfinden wird, der sie nur durch Aufenthalt in einem Drittstaat entgehen kann.</w:t>
      </w:r>
    </w:p>
    <w:p>
      <w:r>
        <w:rPr>
          <w:b/>
        </w:rPr>
        <w:t>E. 6.4</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die Beschwerdeführerin einen flüchtlingsrechtlich bedeutsamen Sachverhalt weder nachgewiesen noch glaubhaft gemacht hat. Die Feststellung des BFM, sie erfülle die Flüchtlingseigenschaft nicht, ist dementsprechend zu bestätigen. Das BFM hat das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Das BFM wies in der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Ihre Rückkehr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Da davon auszugehen ist, dass sich die Beschwerdeführerin ausserhalb ihres Herkunftsgebiets dem Einfluss ihres Vaters entziehen und bei Bedarf um behördlichen Schutz nachsuchen kann, besteht kein Grund zur Annahme, es drohe ihr nach ihrer Rückkehr in die Türkei eine unmenschliche Behandlung.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Es bestehen keine Anhaltspunkte dafür, dass die Beschwerdeführerin aufgrund der allgemeinen Lage in der Türkei bei einer Rückkehr in eine existenzbedrohende Situation geraten könnte. In der Türkei besteht keine Situation generalisierter Gewalt, die sich über das ganze Staatsgebiet oder weite Teile desselben erstrecken würde.</w:t>
      </w:r>
    </w:p>
    <w:p>
      <w:r>
        <w:rPr>
          <w:b/>
        </w:rPr>
        <w:t>E. 8.4.2</w:t>
      </w:r>
    </w:p>
    <w:p>
      <w:r>
        <w:t>Einer Rückkehr der Beschwerdeführerin stehen auch keine überwiegenden individuelle Gründe wirtschaftlicher, sozialer oder gesundheitlicher Natur entgegen. Die (...)-jährige wird nach ihrer Rückkehr nicht auf sich allein gestellt sein. Sie wird seitens der ihr grossteils wohl gesinnten Verwandtschaft, die sich im In- und Ausland aufhält, eine gewisse Unterstützung finden. Und sie wird sich an die zuständigen Behörden beziehungsweise an eine Nichtregierungsorganisation wenden können, wo sie Beratung, Unterstützung und notfalls Schutz finden wird. Sollte es ihr mit Hilfe dieser Personen und Institutionen gelingen, die schwere nachhaltige Schädigung des Bruders durch Misshandlungen, die gegen sie gerichteten Todesdrohungen sowie die wiederholten Misshandlungen ihrer Familienangehörigen durch ihren Vater nachzuweisen, dürfte dieser - der im Übrigen gemäss den Angaben der Beschwerdeführerin nichts an den Unterhalt der Familie beisteuert - zu einer längeren Freiheitsstrafe verurteilt werden. Die Beschwerdeführerin spricht neben dem Türkischen, das sie als ihre Muttersprache bezeichnet, auch Kurdisch und etwas Englisch. Sie verfügt mit ihrer höheren schulischen Ausbildung und ihren Kenntnissen im Rahmen der Bewirtschaftung eines familiär geführten Landwirtschaftsbetriebs über die Voraussetzungen, sich mit etwas Unterstützung mittelfristig eine Existenz aufzubauen. Blosse soziale und wirtschaftliche Schwierigkeiten, von denen die ansässige Bevölkerung im Allgemeinen betroffen ist, begründen im Übrigen ohnehin keine Gefährdung im Sinne von Art. 83 Abs. 4 AuG (vgl. EMARK 2005 Nr. 24 E. 10.1). Die Türkei verfügt über effiziente gesundheitliche Institutionen mit Fachpersonal, wo sie die medizinisch angezeigten Behandlungen (...) fortsetzen kann. Der Vollzug der Wegweisung erweist sich somit nicht als unzumutbar.</w:t>
      </w:r>
    </w:p>
    <w:p>
      <w:r>
        <w:rPr>
          <w:b/>
        </w:rPr>
        <w:t>E. 8.5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 Eine Identitätskarte liegt jedenfalls bereits vor.</w:t>
      </w:r>
    </w:p>
    <w:p>
      <w:r>
        <w:rPr>
          <w:b/>
        </w:rPr>
        <w:t>E. 9</w:t>
      </w:r>
    </w:p>
    <w:p>
      <w:r>
        <w:t>Zusammenfassend ergibt sich, dass das BFM den Vollzug der Wegweisung zu Recht als zulässig, zumutbar und möglich erachtet hat. Die Anordnung der vorläufigen Aufnahme fällt somit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ist keine Parteientschädigung auszurichten und die Kosten sind der Beschwerdeführerin aufzuerlegen (Art. 63 Abs. 1 und 5 VwVG). Sie sind auf Fr. 600.-- festzusetzen (Art. 1-3 des Reglements vom 21. Februar 2008 über die Kosten und Entschädigungen vor dem Bundesverwaltungsgericht [VGKE, SR 173.320.2]) und sind durch den in gleicher Höhe geleisteten Kostenvorschuss, mit welchem sie zu verrechnen sind,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