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E-4646/2009 vom 28. Dezember 2011</w:t>
      </w:r>
    </w:p>
    <w:p>
      <w:r>
        <w:t>Bundesverwaltungsgericht, 2011-12-28, DE</w:t>
      </w:r>
    </w:p>
    <w:p>
      <w:r>
        <w:rPr>
          <w:b/>
        </w:rPr>
        <w:t xml:space="preserve">Quelle: </w:t>
      </w:r>
      <w:r>
        <w:t>https://mcp.opencaselaw.ch/entscheid/bvger_E-4646_2009</w:t>
      </w:r>
    </w:p>
    <w:p>
      <w:r>
        <w:t>FR: TAF E-4646/2009 du 28 décembre 2011</w:t>
      </w:r>
    </w:p>
    <w:p>
      <w:r>
        <w:t>IT: TAF E-4646/2009 del 28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Basel/Bern/Lausanne 2009, Rz. 11.17 und 11.18).</w:t>
      </w:r>
    </w:p>
    <w:p>
      <w:r>
        <w:rPr>
          <w:b/>
        </w:rPr>
        <w:t>E. 5.1</w:t>
      </w:r>
    </w:p>
    <w:p>
      <w:r>
        <w:t>Die Vorinstanz begründete ihren ablehnenden Entscheid damit, dass die Vorbringen des Beschwerdeführers den Anforderungen an die Flüchtlingseigenschaft gemäss Art. 3 AsylG nicht standhielten. So seien Übergriffe durch Dritte oder Befürchtungen, künftig solchen ausgesetzt zu sein, nur dann asylrelevant, wenn der Staat seiner Schutzpflicht nicht nachkomme oder nicht in der Lage sei, Schutz zu gewähren. Gemäss dem unter BVGE 2008/4 publizierten Urteil des Bundesverwaltungsgerichts (vgl. E. 6.5) seien die nordirakischen Behörden grundsätzlich in der Lage und willens, Hinweisen auf Übergriffe durch Dritte nachzugehen und nötigenfalls eine Strafverfolgung einzuleiten. Bei den Vorbringen des Beschwerdeführers betreffend Verfolgung durch die Familie seines verstorbenen Kollegen handle es sich um eine Verfolgung durch Dritte. Gemäss eigenen Aussagen sei der Beschwerdeführer freigesprochen worden, was deutlich mache, dass die nordirakischen Behörden trotz der angeblich hohen KDP-Position des Vaters des Verstorbenen ein neutrales Verfahren durchgeführt hätten. Es könne deshalb davon ausgegangen werden, dass die Behörden den Beschwerdeführer auch vor Übergriffen durch die verfeindete Familie schützen würden, weshalb er nicht auf den Schutz der Schweiz angewiesen sei. Weiter habe der Beschwerdeführer, nachdem er zum zweiten Mal zusammengeschlagen worden sei, noch drei oder vier Monate in B._______ verbracht und er sei in dieser Zeit nicht belästigt worden. Überdies sei bemerkenswert, dass die Familienangehörigen des Beschwerdeführers seit seiner Ausreise keine Probleme mehr mit der verfeindeten Familie gehabt hätten. Aufgrund dieser Umstände sei davon auszugehen, dass der Kausalzusammenhang zwischen Verfolgung und Ausreise unterbrochen sei und zudem der Beschwerdeführer im Falle einer Rückkehr keine begründete Furcht habe vor Verfolgung. Schliesslich argumentierte die Vorinstanz, der Beschwerdeführer mache Nachteile geltend, die sich aus lokal oder regional beschränkten Verfolgungsmassnahmen ableiten würden. Da er sich diesen Verfolgungsmassnahmen durch einen Wegzug in einen anderen Teil des Heimatlandes, namentlich in eine andere nordirakische Provinz, entziehen könne, sei er nicht auf den Schutz der Schweiz angewiesen. Demzufolge erfülle der Beschwerdeführer die Flüchtlingseigenschaft nicht, weshalb sein Asylgesuch abzulehnen sei. Der Wegweisungsvollzug sei ausserdem trotz seiner Minderjährigkeit zumutbar, da er in einem Alter sei, in dem er nicht mehr der ständigen Unterstützung und Betreuung Erwachsener bedürfe, auf ein tragfähiges Beziehungsnetz zurückgreifen könne und zahlreiche Verwandte von ihm in B._______ lebten. Auch würden keine gesundheitlichen Probleme gegen den Wegweisungsvollzug sprechen, da den eingereichten Arztberichten zu entnehmen sei, dass die Heilung des Beines ohne Probleme verlaufen sei. Ausserdem könne er, wenn nötig, medizinische Rückkehrhilfe beantragen.</w:t>
      </w:r>
    </w:p>
    <w:p>
      <w:r>
        <w:rPr>
          <w:b/>
        </w:rPr>
        <w:t>E. 5.2</w:t>
      </w:r>
    </w:p>
    <w:p>
      <w:r>
        <w:t>In seiner Beschwerde entgegnet der Beschwerdeführer der Argumentation der Vorinstanz, es seien seit seiner Ausreise aus dem Irak gegenüber seinen Familienangehörigen wiederholt Drohungen ausgesprochen worden, und es sei ihm unmissverständlich zum Ausdruck gebracht worden, dass er mit dem Tod zu rechnen habe, falls er in den Irak zurückkehre. Es sei zudem davon auszugehen, dass die heimatlichen Behörden keinen genügenden Schutz bieten könnten und er nach einer Rückkehr der Willkür und der Gewalt der verfeindeten Familie ausgesetzt wäre. Auch der mehrmonatige Verbleib in B._______ nach dem zweiten Angriff weise nicht darauf hin, dass er nicht weiterhin mit Repressalien rechnen müsste, zumal er sich während dieser Zeit im Haus verbarrikadiert habe und nur in Begleitung seiner Familie aus dem Haus gegangen sei. Der Beschwerdeführer erfülle deshalb die Flüchtlingseigenschaft gemäss Art. 3 AsylG. Die Rückkehr in den Irak sei für ihn überdies unzumutbar. Der in der Schweiz wohnhafte Bruder und dessen Ehefrau seien ausserdem gerne bereit, ihn bei sich aufzunehmen.</w:t>
      </w:r>
    </w:p>
    <w:p>
      <w:r>
        <w:rPr>
          <w:b/>
        </w:rPr>
        <w:t>E. 5.3</w:t>
      </w:r>
    </w:p>
    <w:p>
      <w:r>
        <w:t>Mit Beschwerdeergänzung vom 30. Juli 2009 machte der Beschwerdeführer geltend, es sei am (...). Juli 2009 auf Veranlassung der Familie des verstorbenen Kollegen erneut ein Haftbefehl gegen ihn erlassen worden. Er werde im Irak nach wie vor verfolgt und habe bei einer Rückkehr mit erheblichen Repressalien von Seiten der verfeindeten Familie zu rechnen. Ausserdem lebe der Beschwerdeführer seit über einem Jahr bei seinem Bruder und dessen Ehefrau, für welche er eine vertraute Bezugsperson geworden sei.</w:t>
      </w:r>
    </w:p>
    <w:p>
      <w:r>
        <w:rPr>
          <w:b/>
        </w:rPr>
        <w:t>E. 5.4</w:t>
      </w:r>
    </w:p>
    <w:p>
      <w:r>
        <w:t>Mit Zwischenverfügung vom 17. August 2009 führte die Instruktionsrichterin aus, die Fürsorgebestätigung sei bereits vor mehr als einem Jahr ausgestellt worden und vermöge deshalb die aktuelle Fürsorgeabhängigkeit nicht zu belegen. Aus einem Schreiben des Bruders des Beschwerdeführers und dessen Ehefrau ergebe sich, dass diese für ihn sorgen und ihm Kost und Logis gewähren würden. Die Gesuche um Gewährung der unentgeltlichen Rechtspflege sowie Rechtsverbeiständung wurden deshalb abgewiesen, wobei gestützt auf die Minderjährigkeit des Beschwerdeführers auf die Erhebung eines Kostenvorschusses verzichtet wurde.</w:t>
      </w:r>
    </w:p>
    <w:p>
      <w:r>
        <w:rPr>
          <w:b/>
        </w:rPr>
        <w:t>E. 6.1</w:t>
      </w:r>
    </w:p>
    <w:p>
      <w:r>
        <w:t>Das Bundesverwaltungsgericht kommt nach eingehender Prüfung der Akten zum Schluss, dass die vorinstanzliche Verfügung im Ergebnis zu stützen ist. Im vorliegenden Fall macht der Beschwerdeführer eine Verfolgung durch die Familie seines verstorbenen Freundes geltend, also eine Verfolgung durch Dritte. Wie das BFM korrekt festgestellt hat, führte das Bundesverwaltungsgericht in seinem Grundsatzurteil BVGE 2008/4 vom 22. Januar 2008 bezüglich der Lage im kurdisch kontrollierten Nordirak aus, die nordirakischen Behörden seien grundsätzlich in der Lage und willens, Hinweisen auf Übergriffe durch Dritte nachzugehen und nötigenfalls eine Strafverfolgung einzuleiten. Die Sicherheits- und Polizeikräfte sind ausreichend dotiert und gelten als gut und straff organisiert. Das Rechts- und Justizsystem ist zwar parallel strukturiert und wird teilweise durch die traditionelle Stammesjustiz konkurrenziert. Trotzdem kann davon ausgegangen werden, dass Streitigkeiten im Regelfall gerichtlich beigelegt werden können. In Bezug auf die drei kurdischen Nordprovinzen kann entsprechend von einer funktionierenden Schutz-Infrastruktur gesprochen werden. Die kurdischen Behörden vermögen damit den Anforderungen an eine stabile und dauerhafte Schutzgewährung zu entsprechen (a.a.O., E. 6.5). Weiter führte die Vorinstanz zutreffend aus, aus den Aussagen des Beschwerdeführers gehe hervor, dass die nordirakischen Behörden ihrer Schutzpflicht nachgekommen seien. Sie hätten nach der Anzeige der verfeindeten Familie ein Verfahren eingeleitet und den Beschwerdeführer vor Gericht freigesprochen. Dies mache deutlich, dass er nicht auf den Schutz der schweizerischen Behörden angewiesen sei. Dieser Einschätzung des BFM ist zuzustimmen.</w:t>
      </w:r>
    </w:p>
    <w:p>
      <w:r>
        <w:rPr>
          <w:b/>
        </w:rPr>
        <w:t>E. 6.2</w:t>
      </w:r>
    </w:p>
    <w:p>
      <w:r>
        <w:t>Zusammenfassend ist festzuhalten, dass die Behörden am Heimatort des Beschwerdeführers willens und in der Lage sind, diesem Schutz zu gewähren, und er entsprechend keine begründete Furch hat vor asylrelevanter Verfolgung bei einer Rückkehr in seinen Heimatstaat. Die Vorbringen des Beschwerdeführers halten den Anforderungen an die Asylrelevanz somit nicht stand. An dieser Auffassung vermögen auch die auf Beschwerdeebene eingereichten Beweismittel nichts zu ändern. Selbst wenn zugunsten des Beschwerdeführers davon ausgegangen wird, der eingereichte Haftbefehl vom (...). Juli 2009 sei echt, ändert dies nichts daran, dass vom Schutzwillen der Behörden in B._______ auszugehen ist.Aufgrund vorstehender Erwägungen, in welchen eine asylrelevante Verfolgung in B._______ verneint wurde, erübrigt es sich, auf die vorinstanzlichen Erwägungen sowie die entsprechenden Ausführungen des Beschwerdeführers in den Rechtsmitteleingaben hinsichtlich Kausalzusammenhang zwischen Verfolgung und Ausreise sowie einer Fluchtalternative in einer anderen nordirakischen Provinz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BFM führte in der angefochtenen Verfügung aus, in den drei von der kurdischen Regionalregierung kontrollierten nordirakischen Provinzen herrsche keine Situation allgemeiner Gewalt. Die dortige Sicherheitslage sei stabil, auch wenn sie von der unsicheren Lage im Zentral- und Südirak abhängig bleibe. Auch sprächen keine individuellen Gründe gegen die Zumutbarkeit des Wegweisungsvollzugs des Beschwerdeführers, welcher den letzten Wohnsitz in B._______ gehabt habe. So verfüge er dort mit seinen Eltern und weiteren Familienmitgliedern über ein tragfähiges Beziehungsnetz. Die gesundheitlichen Probleme aufgrund seiner Beinverletzung würden ebenfalls nicht gegen den Wegweisungsvollzug sprechen, da den eingereichten medizinischen Gutachten zu entnehmen sei, dass die Heilung gut verlaufe.</w:t>
      </w:r>
    </w:p>
    <w:p>
      <w:r>
        <w:rPr>
          <w:b/>
        </w:rPr>
        <w:t>E. 8.3.2</w:t>
      </w:r>
    </w:p>
    <w:p>
      <w:r>
        <w:t>Das Bundesverwaltungsgericht ist im Grundsatzurteil vom 14. März 2008 (BVGE 2008/5) aufgrund einer umfassenden Beurteilung der Situation in den nordirakischen Provinzen Dohuk, Suleimaniya und Erbil zum Schluss gekommen, dass dort keine Situation allgemeiner Gewalt mehr herrscht und die politische Lage nicht so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Zentralirak. Die Sicherheitslage in den drei kurdischen Provinzen hat sich seit Publikation des erwähnten Urteils nicht verschlechtert. In den Berichten staatlicher und nichtstaatlicher Organisationen sowie des UN-Sicherheitsrats wird denn auch eine insgesamt stabile Situation beschrieben (zur aktuellen Lageeinschätzung durch das Bundesverwaltungsgericht vgl. unter anderen die Urteile E-1618/2008 vom 28. Februar 2011 und E-1804/2008 vom 14. März 2011, mit weiteren Hinweisen).</w:t>
      </w:r>
    </w:p>
    <w:p>
      <w:r>
        <w:rPr>
          <w:b/>
        </w:rPr>
        <w:t>E. 8.3.3</w:t>
      </w:r>
    </w:p>
    <w:p>
      <w:r>
        <w:t>Nach dem Gesagten und unter Berücksichtigung der zutreffenden Erwägungen der Vorinstanz ist der Schluss zu ziehen, dass der Beschwerdeführer bei einer Rückkehr nach B._______ keiner konkreten Gefahr im Sinne von Art. 83 Abs. 4 AuG ausgesetzt sein wird und der Vollzug der Wegweisung als zumutbar zu bezeichnen ist. Da der Beschwerdeführer inzwischen volljährig ist, ist die Vereinbarkeit eines Wegweisungsvollzugs mit dem Übereinkommen vom 20. Dezember 1989 über die Rechte des Kindes (KRK, SR 0.107) nicht mehr zu prüfen.</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