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E-4643/2016 vom 27. Oktober 2016</w:t>
      </w:r>
    </w:p>
    <w:p>
      <w:r>
        <w:t>Bundesverwaltungsgericht, 2016-10-27, FR</w:t>
      </w:r>
    </w:p>
    <w:p>
      <w:r>
        <w:rPr>
          <w:b/>
        </w:rPr>
        <w:t xml:space="preserve">Quelle: </w:t>
      </w:r>
      <w:r>
        <w:t>https://mcp.opencaselaw.ch/entscheid/bvger_E-4643_2016</w:t>
      </w:r>
    </w:p>
    <w:p>
      <w:r>
        <w:t>FR: TAF E-4643/2016 du 27 octobre 2016</w:t>
      </w:r>
    </w:p>
    <w:p>
      <w:r>
        <w:t>IT: TAF E-4643/2016 del 27 ottobre 2016</w:t>
      </w:r>
    </w:p>
    <w:p>
      <w:pPr>
        <w:pStyle w:val="Heading2"/>
      </w:pPr>
      <w:r>
        <w:t>Regeste</w:t>
      </w:r>
    </w:p>
    <w:p>
      <w:r>
        <w:t>Asile (sans 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L'intéressée a qualité pour recourir (art. 48 al. 1 PA) et a agi en temps utile (art. 108 al. 1 LAsi). Dûment régularisé dans le délai imparti à cet effet (art. 52 al. 1 et 2 PA),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(voir ATAF 2011/50 consid. 3.1.2.1 et les références citées).</w:t>
      </w:r>
    </w:p>
    <w:p>
      <w:r>
        <w:rPr>
          <w:b/>
        </w:rPr>
        <w:t>E. 3.2</w:t>
      </w:r>
    </w:p>
    <w:p>
      <w:r>
        <w:t>En l'espèce, l'intéressée fait valoir que vingt jours après le départ de son mari ainsi que de leur fils I._______, des hommes armés se seraient présentés à son domicile, entre une à trois reprises, selon les versions. Ceux-ci auraient quitté la Syrie en (...) approximativement, selon les déclarations de la recourante (cf. pv de l'audition sommaire, ch. 7.01 ; pv de l'audition sur les motifs, Q35). Selon les dires de son mari, celui-ci aurait quitté son pays d'origine en (...) (cf. pv de l'audition sommaire de J._______, ch. 5.01). Depuis cette, ou ces, visite(s) domiciliaire(s), l'intéressée n'a plus rencontré de problème ciblé, que cela soit avec les autorités syriennes ou avec des tiers (cf. pv de l'audition sommaire, ch. 7.01 ; pv de l'audition sur les motifs, Q51). Force est donc de constater que la dernière persécution alléguée remonte à environ une année et demi avant le départ de Syrie de l'intéressée. A cet égard, elle soutient que l'opportunité de partir ne s'était pas présentée plus tôt et qu'elle n'avait pas l'argent nécessaire. Cette explication n'emporte pas la conviction du Tribunal, dès lors que l'intéressée a pu compter sur un important soutien familial après que son mari est parti et que sa famille a, en particulier, financé son départ de Syrie (cf. pv de l'audition sommaire, ch. 5.02 et 7.01).</w:t>
      </w:r>
    </w:p>
    <w:p>
      <w:r>
        <w:rPr>
          <w:b/>
        </w:rPr>
        <w:t>E. 3.3</w:t>
      </w:r>
    </w:p>
    <w:p>
      <w:r>
        <w:t>Par conséquent, l'existence d'un lien temporel de causalité entre les motifs allégués par la recourante et la fuite du pays est fort douteuse. Cela étant, cette question peut demeurer indécise, pour les raisons exposées ci-dessous.</w:t>
      </w:r>
    </w:p>
    <w:p>
      <w:r>
        <w:rPr>
          <w:b/>
        </w:rPr>
        <w:t>E. 4.1</w:t>
      </w:r>
    </w:p>
    <w:p>
      <w:r>
        <w:t>Comme l'a relevé le SEM, les allégations de l'intéressée sont invraisemblables sur des points importants de son récit. En premier lieu, elle s'est contredite sur les visites domiciliaires qu'elle aurait subies, suite au départ de son mari et de leur fils I._______. Ainsi, dans un premier temps elle a déclaré que des représentants du gouvernement s'étaient présentés, une seule fois, à son domicile (cf. pv de l'audition sommaire, ch. 7.01). Dans un second temps, elle a affirmé qu'il y avait eu deux ou trois visites, avant de préciser, en réponse à une question de la personne chargée de l'audition, qu'il y en avait eu deux (cf. pv de l'audition sur les motifs, Q40 ss).</w:t>
      </w:r>
    </w:p>
    <w:p>
      <w:r>
        <w:rPr>
          <w:b/>
        </w:rPr>
        <w:t>E. 4.2</w:t>
      </w:r>
    </w:p>
    <w:p>
      <w:r>
        <w:t>Par ailleurs, les déclarations de l'intéressée sont inconsistantes en ce qui concerne la prétendue tentative de recrutement de son fils I._______ par l'YPG. En effet, lors de son audition sommaire, elle a déclaré que cette organisation venait aussi « le demander ». En revanche, lors de son audition sur les motifs d'asile, elle n'a pas mentionné ce fait. Interrogée sur ce point, elle s'est limitée à dire qu'elle ignorait si les hommes qui étaient venus à son domicile, et qui parlaient arabe, langue qui lui est étrangère, venaient de la part du régime syrien ou de la part du YPG. Cette explication n'est pas convaincante, étant donné que l'intéressée a expressément déclaré, lors de sa première audition, que son fils I._______ était recherché aussi bien par l'armée régulière que par l'YPG (cf. pv de l'audition sommaire, ch. 7.01 ; pv de l'audition sur les motifs, Q76).</w:t>
      </w:r>
    </w:p>
    <w:p>
      <w:r>
        <w:rPr>
          <w:b/>
        </w:rPr>
        <w:t>E. 4.3</w:t>
      </w:r>
    </w:p>
    <w:p>
      <w:r>
        <w:t>Le Tribunal relève encore que l'intéressée n'était en aucun cas recherchée personnellement lors de cette ou ces prétendues visites domiciliaires. Hormis cela, elle n'a d'ailleurs rencontré aucun problème ciblé, que cela soit avec les autorités ou avec des tiers (cf. pv de l'audition sommaire, ch. 7.01 ; pv de l'audition sur les motifs, Q51).</w:t>
      </w:r>
    </w:p>
    <w:p>
      <w:r>
        <w:rPr>
          <w:b/>
        </w:rPr>
        <w:t>E. 4.4</w:t>
      </w:r>
    </w:p>
    <w:p>
      <w:r>
        <w:t>Enfin, les conditions de vie difficiles et l'insécurité qui règnent en Syrie en raison de la guerre civile ne constituent pas une persécution ciblée pour l'un des motifs énoncés à l'art. 3 al. 1 LAsi.</w:t>
      </w:r>
    </w:p>
    <w:p>
      <w:r>
        <w:rPr>
          <w:b/>
        </w:rPr>
        <w:t>E. 4.5</w:t>
      </w:r>
    </w:p>
    <w:p>
      <w:r>
        <w:t>Au vu de ce qui précède, c'est à juste titre que le SEM a refusé de reconnaître la qualité de réfugié et d'octroyer l'asile.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 (ATAF 2014/28 consid. 9 ; 2013/37 consid. 4.4 ; 2009/50 consid. 9).</w:t>
      </w:r>
    </w:p>
    <w:p>
      <w:r>
        <w:rPr>
          <w:b/>
        </w:rPr>
        <w:t>E. 5.2</w:t>
      </w:r>
    </w:p>
    <w:p>
      <w:r>
        <w:t>Aucune exception à la règle générale du renvoi n'étant en l'occurrence réalisée, le Tribunal est tenu, de par la loi, de confirmer cette mesure.</w:t>
      </w:r>
    </w:p>
    <w:p>
      <w:r>
        <w:rPr>
          <w:b/>
        </w:rPr>
        <w:t>E. 6</w:t>
      </w:r>
    </w:p>
    <w:p>
      <w:r>
        <w:t>Au vu de ce qui précède, le recours doit être rejeté et la décision attaquée confirmée.</w:t>
      </w:r>
    </w:p>
    <w:p>
      <w:r>
        <w:rPr>
          <w:b/>
        </w:rPr>
        <w:t>E. 7</w:t>
      </w:r>
    </w:p>
    <w:p>
      <w:r>
        <w:t>Le Tribunal renonce en l'espèce à un échange d'écritures (art. 111a al. 1 LAsi).</w:t>
      </w:r>
    </w:p>
    <w:p>
      <w:r>
        <w:rPr>
          <w:b/>
        </w:rPr>
        <w:t>E. 8.1</w:t>
      </w:r>
    </w:p>
    <w:p>
      <w:r>
        <w:t>Les conclusions du recours étant d'emblée vouées à l'échec, la demande d'assistance judiciaire partielle est rejetée (art. 65 al. 1 PA).</w:t>
      </w:r>
    </w:p>
    <w:p>
      <w:r>
        <w:rPr>
          <w:b/>
        </w:rPr>
        <w:t>E. 8.2</w:t>
      </w:r>
    </w:p>
    <w:p>
      <w:r>
        <w:t>Au vu de l'issue de la cause, il y a lieu de mettre les frais de procédure à la charge de la recourante, conformément à l'art. 63 al. 1 PA ainsi qu'aux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