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E-4642/2024 vom 26. August 2024</w:t>
      </w:r>
    </w:p>
    <w:p>
      <w:r>
        <w:t>Bundesverwaltungsgericht, 2024-08-26, DE</w:t>
      </w:r>
    </w:p>
    <w:p>
      <w:r>
        <w:rPr>
          <w:b/>
        </w:rPr>
        <w:t xml:space="preserve">Quelle: </w:t>
      </w:r>
      <w:r>
        <w:t>https://mcp.opencaselaw.ch/entscheid/bvger_E-4642_2024</w:t>
      </w:r>
    </w:p>
    <w:p>
      <w:r>
        <w:t>FR: TAF E-4642/2024 du 26 août 2024</w:t>
      </w:r>
    </w:p>
    <w:p>
      <w:r>
        <w:t>IT: TAF E-4642/2024 del 26 agosto 2024</w:t>
      </w:r>
    </w:p>
    <w:p>
      <w:pPr>
        <w:pStyle w:val="Heading2"/>
      </w:pPr>
      <w:r>
        <w:t>Regeste</w:t>
      </w:r>
    </w:p>
    <w:p>
      <w:r>
        <w:t>Vollzug der Wegweisung</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w:t>
      </w:r>
    </w:p>
    <w:p>
      <w:r>
        <w:rPr>
          <w:b/>
        </w:rPr>
        <w:t>E. 1.2</w:t>
      </w:r>
    </w:p>
    <w:p>
      <w:r>
        <w:t>Das Verfahren richtet sich nach dem VwVG, dem VGG und dem BGG, soweit das AsylG nichts anderes bestimmt (Art. 37 VGG und Art. 6 AsylG).</w:t>
      </w:r>
    </w:p>
    <w:p>
      <w:r>
        <w:rPr>
          <w:b/>
        </w:rPr>
        <w:t>E. 1.3</w:t>
      </w:r>
    </w:p>
    <w:p>
      <w:r>
        <w:t>Die Beschwerdeführenden sind als Verfügungsadressaten zur Be- schwerdeführung legitimiert (Art. 48 VwVG). Auf die frist- und formgerecht eingereichte Beschwerde ist einzutreten (Art. 108 Abs. 2 AsylG und Art. 52 Abs. 1 VwVG), nachdem auch der Kostenvorschuss fristgerecht über- wiesen worden ist.</w:t>
      </w:r>
    </w:p>
    <w:p>
      <w:r>
        <w:rPr>
          <w:b/>
        </w:rPr>
        <w:t>E. 2</w:t>
      </w:r>
    </w:p>
    <w:p>
      <w:r>
        <w:t>Die Dispositivziffern 1 und 2 der angefochtenen Verfügung (Verneinung der Flüchtlingseigenschaft und Ablehnung Asylgesuch) sind – wie dies vom In- struktionsrichter in der Zwischenverfügung vom 31. Juli 2024 bereits fest- gehalten wurde – mangels Anfechtung in Rechtskraft erwachsen. Die Weg- weisung als solche (Dispositivziffern 3) kann praxisgemäss nur aufgeho- ben werden, wenn eine Aufenthaltsbewilligung vorliegt oder ein Anspruch auf Erteilung einer solchen besteht (vgl. BVGE 2009/50 m.w.H.), was vor- liegend nicht der Fall ist. Gegenstand des Beschwerdeverfahrens bildet damit lediglich die Frage, ob die Wegweisung zu vollziehen oder ob an- stelle des Vollzugs eine vorläufige Aufnahme anzuordnen ist.</w:t>
      </w:r>
    </w:p>
    <w:p>
      <w:r>
        <w:t>E-4642/2024 Seite 6</w:t>
      </w:r>
    </w:p>
    <w:p>
      <w:r>
        <w:rPr>
          <w:b/>
        </w:rPr>
        <w:t>E. 3</w:t>
      </w:r>
    </w:p>
    <w:p>
      <w:r>
        <w:t>Die Kognition des Bundesverwaltungsgerichts und die zulässigen Rügen richten sich im Bereich des Ausländerrechts nach Art. 49 VwVG (vgl. BVGE 2014/26 E. 5).</w:t>
      </w:r>
    </w:p>
    <w:p>
      <w:r>
        <w:rPr>
          <w:b/>
        </w:rPr>
        <w:t>E. 4</w:t>
      </w:r>
    </w:p>
    <w:p>
      <w:r>
        <w:t>Die vorliegende Beschwerde erweist sich – wie nachstehend aufgezeigt wird – als offensichtlich unbegründet, weshalb sie im Verfahren einzelrich- terlicher Zuständigkeit mit Zustimmung eines zweiten Richters (Art. 111 Bst. e AsylG), ohne Durchführung eines Schriftenwechsels und mit sum- marischer Begründung, zu behandeln ist (Art. 111a Abs. 1 und 2 AsylG).</w:t>
      </w:r>
    </w:p>
    <w:p>
      <w:r>
        <w:rPr>
          <w:b/>
        </w:rPr>
        <w:t>E. 5</w:t>
      </w:r>
    </w:p>
    <w:p>
      <w:r>
        <w:t>Ist der Vollzug der Wegweisung nicht zulässig, nicht zumutbar oder nicht möglich, regelt das SEM das Anwesenheitsverhältnis nach den gesetzli- 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Das SEM führte zur Begründung der Zulässigkeit und Zumutbarkeit des Wegweisungsvollzugs in der angefochtenen Verfügung insbesondere aus, der Beschwerdeführer sei gesund und arbeitsfähig, verfüge über eine liba- nesische Schulausbildung und mehrere Jahre Arbeitserfahrung, die er un- ter anderem in der Schweiz erworben habe. Sodann könnten die Be- schwerdeführenden auf ein ausgedehntes familiäres Beziehungsnetz im In- und Ausland zurückgreifen, das sie bei ihrer neuerlichen Rückkehr – auch an einen anderen Ort als F._______ – unterstützen könne. Dank seiner regen Reisetätigkeit sei der Beschwerdeführer ausserdem bestens mit dem Libanon vertraut. Die Einwände des Beschwerdeführers, wonach er aufgrund der Betreuung seines ältesten Kindes keiner Berufstätigkeit nachgehen könne, überzeuge nicht, zumal es nebst dem ausgedehnten Beziehungsnetz auch Betreuungsangebote gebe, die sich mit einer Er- werbstätigkeit vereinbaren liessen. Die medikamentöse Versorgung sei ausserdem ebenfalls sichergestellt. Auch das Kindeswohl der beiden jün- geren Kinder stehe dem Wegweisungsvollzug nicht entgegen, zumal sie in einem anpas-sungsfähigen Alter seien und in der Vergangenheit bereits im Libanon gelebt hätten.</w:t>
      </w:r>
    </w:p>
    <w:p>
      <w:r>
        <w:t>E-4642/2024 Seite 7</w:t>
      </w:r>
    </w:p>
    <w:p>
      <w:r>
        <w:rPr>
          <w:b/>
        </w:rPr>
        <w:t>E. 6.2</w:t>
      </w:r>
    </w:p>
    <w:p>
      <w:r>
        <w:t>Die Beschwerdeführenden führten zur Begründung ihres Rechtsmittels im Wesentlichen aus, sowohl die Sicherheitslage im Libanon als auch das Kindeswohl ständen einem Vollzug der Wegweisung entgegen. Der herr- schende Konflikt im Nahen Osten habe auch Auswirkungen auf den Liba- non und es komme immer wieder zu Luftangriffen. Sodann handle es sich beim Beschwerdeführer um einen alleinerziehenden Vater von drei minder- jährigen Kindern. Die Kinder hätten sich zwischen 2018 und dem Sommer 2023 während drei Jahren ununterbrochen in der Schweiz befunden. Das älteste Kind sei ausserdem aufgrund seiner deutlichen Verhaltensstörung auf engmaschige Betreuung angewiesen.</w:t>
      </w:r>
    </w:p>
    <w:p>
      <w:r>
        <w:rPr>
          <w:b/>
        </w:rPr>
        <w:t>E. 7.1</w:t>
      </w:r>
    </w:p>
    <w:p>
      <w:r>
        <w:t>Nach Prüfung der Akten kommt das Bundesverwaltungsgericht zum Schluss, dass die vorinstanzliche Verfügung zu bestätigen ist. Die Ausfüh- rungen in der Beschwerde vermögen den Erwägungen des SEM letztlich nichts Stichhaltiges entgegenzusetzen. Somit kann vorab auf die zutreffen- den Erwägungen der angefochtenen Verfügung verwiesen werden. Als wesentlich wird Folgendes erachtet:</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der angefochtenen Verfügung zutreffend da- rauf hin, dass das Prinzip des flüchtlingsrechtlichen Non-Refoulement nur Personen schützt, die die Flüchtlingseigenschaft erfüllen. Da rechtskräftig feststeht, dass dies bei den Beschwerdeführenden nicht der Fall ist, kann</w:t>
      </w:r>
    </w:p>
    <w:p>
      <w:r>
        <w:t>E-4642/2024 Seite 8 der in Art. 5 AsylG verankerte Grundsatz der Nichtrückschiebung im vorlie- genden Verfahren keine Anwendung finden. Eine Rückkehr der Beschwer- deführenden in den Heimatstaat ist demnach unter dem Aspekt von Art. 5 AsylG rechtmässig.</w:t>
      </w:r>
    </w:p>
    <w:p>
      <w:r>
        <w:rPr>
          <w:b/>
        </w:rPr>
        <w:t>E. 7.2.3</w:t>
      </w:r>
    </w:p>
    <w:p>
      <w:r>
        <w:t>Sodann ergeben sich weder aus den Aussagen der Beschwerdefüh- renden noch aus den Akten Anhaltspunkte dafür, dass sie für den Fall einer Rückkehr in den Heimatstaat dort mit beachtlicher Wahrscheinlichkeit einer nach Art. 3 EMRK oder Art. 1 FoK verbotenen Strafe oder Behandlung aus- gesetzt wären. Gemäss Praxis des Europäischen Gerichtshofs für Men- 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28. Februar 2008, Grosse Kammer 37201/06, §§ 124– 127 m.w.H.). Auch die allgemeine Menschenrechtssituation im Heimatstaat lässt den Wegweisungsvollzug zum heutigen Zeitpunkt nicht als unzulässig erscheinen.</w:t>
      </w:r>
    </w:p>
    <w:p>
      <w:r>
        <w:rPr>
          <w:b/>
        </w:rPr>
        <w:t>E. 7.2.4</w:t>
      </w:r>
    </w:p>
    <w:p>
      <w:r>
        <w:t>Hinsichtlich der geltend gemachten gesundheitlichen Probleme der Beschwerdeführenden – namentlich des ältesten Kindes – lässt sich mit Bezug auf die Zulässigkeit des Wegweisungsvollzugs Folgendes festhal- ten:</w:t>
      </w:r>
    </w:p>
    <w:p>
      <w:r>
        <w:rPr>
          <w:b/>
        </w:rPr>
        <w:t>E. 7.2.4.1</w:t>
      </w:r>
    </w:p>
    <w:p>
      <w:r>
        <w:t>Gemäss Praxis des EGMR kann der Vollzug der Wegweisung eines abgewiesenen Asylsuchenden mit gesundheitlichen Problemen einen Verstoss gegen Art. 3 EMRK darstellen; hierfür sind jedoch ganz ausser- gewöhnliche Umstände Voraussetzung (vgl. Urteil Paposhvili gegen Bel- gien vom 13. Dezember 2016, Grosse Kammer 41738/10, § 183, bestätigt durch das Urteil Savran gegen Dänemark vom 7. Dezember 2021, Grosse Kammer 57467/2015).</w:t>
      </w:r>
    </w:p>
    <w:p>
      <w:r>
        <w:rPr>
          <w:b/>
        </w:rPr>
        <w:t>E. 7.2.4.2</w:t>
      </w:r>
    </w:p>
    <w:p>
      <w:r>
        <w:t>Gemäss den ärztlichen Berichten der Psychiatrischen Universitäts- klinik E._______ wurden beim ältesten Kind folgende Diagnosen gestellt: Sonstige tiefgreifende Entwicklungsstörungen (ICD-10: F84.8), sonstige hyperkinetische Störungen (ICD-10: F90.8), ad F84.8 und F90.8: Erhebli- che Hyperaktivitäts- und Impulsivitätsstörung bei genetischer Variante mit Intelligenzminderung. Seit der Rückkehr in die Schweiz wurde das Kind den Akten zufolge vom Vater zweimal stationär eingewiesen (21.–23. Juni 2024 sowie 4.–17. Juli 2024). Bei seiner Entlassung am 17. Juli 2024 wurde ein Folgetermin für den 2. September 2024 vereinbart.</w:t>
      </w:r>
    </w:p>
    <w:p>
      <w:r>
        <w:t>E-4642/2024 Seite 9</w:t>
      </w:r>
    </w:p>
    <w:p>
      <w:r>
        <w:rPr>
          <w:b/>
        </w:rPr>
        <w:t>E. 7.2.4.3</w:t>
      </w:r>
    </w:p>
    <w:p>
      <w:r>
        <w:t>Das Gericht stellt nicht in Abrede, dass die Betreuung des ältesten Kindes zeitintensiv und herausfordernd erscheint. Es handelt sich dabei aber offensichtlich nicht um ein derart gravierendes Krankheitsbild, das die Annahme der Unzulässigkeit des Vollzugs der Wegweisung im Sinn der zitierten Rechtsprechung rechtfertigen würde. Folglich droht auch in dieser Hinsicht keine Verletzung von Art. 3 EMRK.</w:t>
      </w:r>
    </w:p>
    <w:p>
      <w:r>
        <w:rPr>
          <w:b/>
        </w:rPr>
        <w:t>E. 7.2.5</w:t>
      </w:r>
    </w:p>
    <w:p>
      <w:r>
        <w:t>Nach dem Gesagten ist der Vollzug der Wegweisung sowohl im Sinne der asyl- als auch der völkerrechtlichen Bestimmungen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Die allgemeine Lage im Libanon ist zwar in der Tat volatil (vgl. Be- schwerde S. 4 f.). Dennoch geht das Bundesverwaltungsgericht zurzeit nicht davon aus, sie sei landesweit durch Krieg, Bürgerkrieg, allgemeine Gewalt oder eine medizinische Notlage gekennzeichnet (vgl. zuletzt Urteile des BVGer E-2170/2024 vom 24. Juni 2024 E. 9.3.2 und E-5511/2020 vom 23. Februar 2024 E. 9.3.2). Die von den Beschwerdeführenden geäusser- ten Befürchtungen hinsichtlich der volatilen Sicherheitslage im Libanon vermag diese Einschätzung letztlich nicht infrage zu stellen.</w:t>
      </w:r>
    </w:p>
    <w:p>
      <w:r>
        <w:rPr>
          <w:b/>
        </w:rPr>
        <w:t>E. 7.3.2</w:t>
      </w:r>
    </w:p>
    <w:p>
      <w:r>
        <w:t>Das SEM hat in der angefochtenen Verfügung zutreffend festgestellt, dass die Beschwerdeführenden über ein ausgedehntes und – auch in fi- nanzieller Hinsicht – tragfähiges Beziehungsnetz im In- und Ausland verfü- gen, dass ihnen die wirtschaftliche und soziale Reintegration erleichtern wird. Die Vorinstanz hat zudem überzeugend dargelegt, dass sowohl Be- treuungsangebote vor Ort als auch das persönliche Beziehungsnetz es dem – mittlerweile alleinerziehenden – Beschwerdeführer erlauben wird, trotz den medizinischen Bedürfnissen seines ältesten Kindes, einer beruf- lichen Tätigkeit nachzugehen, zumal er in den vergangenen Jahren Ar- beitserfahrung in verschiedenen Bereichen sowie Fremdsprachenkennt- nisse erworben hat. Insgesamt verfügen die Beschwerdeführenden dem- nach über gute Voraussetzungen zur wirtschaftlichen und sozialen Rein- tegration im Heimatland. Auch unter dem Aspekt des Kindeswohls erweist sich die Rückkehr der Familie nach – im Urteilszeitpunkt – lediglich fünf- monatiger Landesabwesenheit als vertretbar. Aus dem Umstand, dass die</w:t>
      </w:r>
    </w:p>
    <w:p>
      <w:r>
        <w:t>E-4642/2024 Seite 10 Beschwerdeführenden sich bereits früher längere Zeit in der Schweiz auf- gehalten hatten, diese aber infolge Nichtverlängerung ihrer Aufenthaltsbe- willigungen wieder verlassen mussten, vermögen sie – gerade auch unter Berücksichtigung der übergeordneten Kindesinteressen – im vorliegenden Verfahren nichts zu ihren Gunsten anzuleiten.</w:t>
      </w:r>
    </w:p>
    <w:p>
      <w:r>
        <w:rPr>
          <w:b/>
        </w:rPr>
        <w:t>E. 7.3.3.1</w:t>
      </w:r>
    </w:p>
    <w:p>
      <w:r>
        <w:t>Gründe ausschliesslich medizinischer Natur lassen den Wegwei- sungsvollzug im Allgemeinen nicht als unzumutbar erscheinen, es sei denn, die erforderliche Behandlung sei wesentlich und im Heimatland nicht erhältlich. Entsprechen die Behandlungsmöglichkeiten im Herkunftsland nicht dem medizinischen Standard in der Schweiz, bewirkt dies allein noch nicht die Unzumutbarkeit des Vollzugs. Von einer solchen ist erst auszuge- hen, wenn die ungenügende Möglichkeit der Weiterbehandlung eine dras- tische und lebensbedrohende Verschlechterung des Gesundheitszustands nach sich zieht (vgl. BVGE 2011/50 E. 8.3 und 2009/2 E. 9.3.2 je m.w.H.).</w:t>
      </w:r>
    </w:p>
    <w:p>
      <w:r>
        <w:rPr>
          <w:b/>
        </w:rPr>
        <w:t>E. 7.3.3.2</w:t>
      </w:r>
    </w:p>
    <w:p>
      <w:r>
        <w:t>Das SEM hat in der angefochtenen Verfügung überzeugend darge- legt, dass im Libanon Behandlungs- und Betreuungsangebote für das äl- teste Kind verfügbar sind. Die Beschwerdeführenden haben dies in ihrem Rechtsmittel denn auch nicht bestritten, sondern sich im Wesentlichen auf das Vorbringen beschränkt, die Scheidung der Eltern wirke sich negativ auf den für den Vater anfallenden Betreuungsaufwand aus. Diesbezüglich kann – nebst den vom SEM angeführten Behandlungs- und Betreuungs- möglichkeiten – ebenfalls auf das bereits erwähnte, ausgedehnte Bezie- hungsnetz verwiesen werden. Demnach ist davon auszugehen, dass die Beschwerdeführenden auch nach der Rückkehr wiederum Zugang zu all- fällig benötigten medizinischen Behandlungen haben werden, so dass eine menschenwürdige Existenz gewährleistet ist. Der Vollständigkeit halber ist an dieser Stelle auf die Möglichkeit eines Gesuchs um Gewährung medizi- nischer Rückkehrhilfe hinzuweisen (Art. 75 der Asylverordnung 2 vom</w:t>
      </w:r>
    </w:p>
    <w:p>
      <w:r>
        <w:rPr>
          <w:b/>
        </w:rPr>
        <w:t>E. 7.3.4</w:t>
      </w:r>
    </w:p>
    <w:p>
      <w:r>
        <w:t>Nach dem Gesagten erweist sich der Vollzug der Wegweisung auch als zumutbar.</w:t>
      </w:r>
    </w:p>
    <w:p>
      <w:r>
        <w:rPr>
          <w:b/>
        </w:rPr>
        <w:t>E. 7.4</w:t>
      </w:r>
    </w:p>
    <w:p>
      <w:r>
        <w:t>Schliesslich verfügen die Beschwerdeführenden über Reisepässe und es obliegt ihnen, sich bei der zuständigen Vertretung des Heimatstaates die für eine Rückkehr allenfalls weiteren notwendigen Reisedokumente zu beschaffen (vgl. Art. 8 Abs. 4 AsylG und dazu auch BVGE 2008/34 E. 12), weshalb der Vollzug der Wegweisung auch als möglich zu bezeichnen ist (Art. 83 Abs. 2 AIG).</w:t>
      </w:r>
    </w:p>
    <w:p>
      <w:r>
        <w:t>E-4642/2024 Seite 11</w:t>
      </w:r>
    </w:p>
    <w:p>
      <w:r>
        <w:rPr>
          <w:b/>
        </w:rPr>
        <w:t>E. 7.5</w:t>
      </w:r>
    </w:p>
    <w:p>
      <w:r>
        <w:t>Zusammenfassend hat die Vorinstanz den Wegweisungsvollzug zu Recht als zulässig, zumutbar und möglich bezeichnet. Eine Anordnung der vorläufigen Aufnahme fällt somit ausser Betracht (Art. 83 Abs. 1–4 AIG). 8. Aus diesen Erwägungen ergibt sich, dass die angefochtene Verfügung Bundesrecht nicht verletzt, den rechtserheblichen Sachverhalt richtig so- wie vollständig feststellen (Art. 106 Abs. 1 AsylG) und – soweit diesbezüg- lich überprüfbar – angemessen ist. Die Beschwerde ist abzuweisen. 9. Bei diesem Ausgang des Verfahrens sind die Kosten von Fr. 750.– den Be- schwerdeführenden aufzuerlegen (vgl. Art. 63 Abs. 1 VwVG und Art. 1–3 des Reglements vom 21. Februar 2008 über die Kosten und Entschädigun- gen vor dem Bundesverwaltungsgericht [VGKE, SR 173.320.2]). Der in die- ser Höhe geleistete Kostenvorschuss ist zur Deckung der Verfahrens- kosten zu verwenden.</w:t>
      </w:r>
    </w:p>
    <w:p>
      <w:r>
        <w:t>(Dispositiv nächste Seite)</w:t>
      </w:r>
    </w:p>
    <w:p>
      <w:r>
        <w:t>E-4642/2024 Seite 12</w:t>
      </w:r>
    </w:p>
    <w:p>
      <w:r>
        <w:rPr>
          <w:b/>
        </w:rPr>
        <w:t>E. 8</w:t>
      </w:r>
    </w:p>
    <w:p>
      <w:r>
        <w:t>Aus diesen Erwägungen ergibt sich, dass die angefochtene Verfügung Bundesrecht nicht verletzt, den rechtserheblichen Sachverhalt richtig sowie vollständig feststellen (Art. 106 Abs. 1 AsylG) und - soweit diesbezüglich überprüfbar - angemessen ist. Die Beschwerde ist abzuweisen.</w:t>
      </w:r>
    </w:p>
    <w:p>
      <w:r>
        <w:rPr>
          <w:b/>
        </w:rPr>
        <w:t>E. 9</w:t>
      </w:r>
    </w:p>
    <w:p>
      <w:r>
        <w:t>Bei diesem Ausgang des Verfahrens sind die Kosten von Fr. 750.- den Beschwerdeführenden aufzuerlegen (vgl. Art. 63 Abs. 1 VwVG und Art. 1-3 des Reglements vom 21. Februar 2008 über die Kosten und Entschädigungen vor dem Bundesverwaltungsgericht [VGKE, SR 173.320.2]). Der in dieser Höhe geleistete Kostenvorschuss ist zur Deckung der Verfahrens-kosten zu verwenden. (Dispositiv nächste Seite)</w:t>
      </w:r>
    </w:p>
    <w:p>
      <w:r>
        <w:rPr>
          <w:b/>
        </w:rPr>
        <w:t>E. 11</w:t>
      </w:r>
    </w:p>
    <w:p>
      <w:r>
        <w:t>August 1999 [AsylV 2, SR 142.312]).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