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E-4642/2010 vom 17. Mai 2011</w:t>
      </w:r>
    </w:p>
    <w:p>
      <w:r>
        <w:t>Bundesverwaltungsgericht, 2011-05-17, FR</w:t>
      </w:r>
    </w:p>
    <w:p>
      <w:r>
        <w:rPr>
          <w:b/>
        </w:rPr>
        <w:t xml:space="preserve">Quelle: </w:t>
      </w:r>
      <w:r>
        <w:t>https://mcp.opencaselaw.ch/entscheid/bvger_E-4642_2010</w:t>
      </w:r>
    </w:p>
    <w:p>
      <w:r>
        <w:t>FR: TAF E-4642/2010 du 17 mai 2011</w:t>
      </w:r>
    </w:p>
    <w:p>
      <w:r>
        <w:t>IT: TAF E-4642/2010 del 17 maggio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premier lieu, la recourante, qui a passé toute son existence en Ethiopie, n'a déposé aucun document d'identité, acte de naissance ou carte d'élève, ni aucune preuve de sa nationalité prétendue ; interpellée par l'ODM sur ce point, elle n'a apporté aucun nouvel élément. Par ailleurs, elle a déclaré avoir vécu avec ses parents et ses frères et soeurs jusqu'à l'âge de onze ans, mais ne parle que l'amharique, sans maîtriser aucune langue érythréenne, ni d'ailleurs la langue afar. Il n'est donc pas vraisemblable qu'elle ait vécu dans le cadre familial décrit, ce d'autant plus qu'elle n'est pas en mesure de donner, au sujet de ses proches, les renseignements précis qu'on pouvait attendre d'elle (cf. audition du 13 janvier 2010, questions 135-138). L'intéressée n'a pas non plus expliqué de manière convaincante pourquoi ses parents, obligés de partir pour l'Erythrée, ne l'auraient pas emmenée avec leurs autres enfants ; comme l'ODM l'a noté, elle a donné à cette attitude anormale des raisons contradictoires et inconciliables. Le Tribunal observe en outre que le comportement de la recourante n'a pas été - et n'est toujours pas - celui qu'adopterait logiquement une personne séparée de sa famille depuis plusieurs années. Elle se serait en effet contentée des renseignements laconiques que lui donnait B._______ sur les siens (cf. audition du 10 janvier 2010, questions 128-130 et 148), sans en rechercher d'autres par elle-même ; depuis son arrivée en Suisse, l'intéressée semble d'ailleurs n'avoir pas engagé d'autres démarches pour localiser ses proches et entrer en contact avec eux. Le Tribunal, au vu de cet ensemble d'éléments, admet donc que l'intéressée est en réalité d'origine éthiopienne. Elle ne court donc pas de risque de persécution en raison d'une éventuelle extraction érythréenne.</w:t>
      </w:r>
    </w:p>
    <w:p>
      <w:r>
        <w:rPr>
          <w:b/>
        </w:rPr>
        <w:t>E. 3.2</w:t>
      </w:r>
    </w:p>
    <w:p>
      <w:r>
        <w:t>Pour le surplus, quand bien même la recourante a pu effectivement vivre à Addis-Abeba dans des conditions précaires, sa description des faits n'emporte pas pleinement la conviction. Elle n'est ainsi en mesure d'indiquer ni la profession, ni les sources de revenus de son hôtesse, bien qu'elle dise avoir vécu cinq ans en sa compagnie (idem, question 35), pas plus que l'adresse et le nom du propriétaire de l'hôtel où elle aurait travaillé durant plusieurs mois Elle a également décrit de manière très générale, et sans donner de détails vérifiables, la période durant laquelle elle aurait vécu dans la rue. Le Tribunal n'est pas non plus convaincu de la réalité de l'aide apportée à la recourante par un client occasionnel pour gagner le Soudan ; l'intéressée n'a pas expliqué clairement pourquoi elle aurait choisi de se rendre dans ce pays, ni d'ailleurs pourquoi elle l'aurait quitté (cf. audition du 10 janvier 2010, question 124). Il est donc probable qu'elle a rejoint la Suisse dans d'autres circonstances que celles décrites. Dès lors, aucun élément ne permet d'admettre que la recourante, qui aurait passé plusieurs années au Soudan sans demander protection, était menacée en Ethiopie d'une quelconque persécution ; elle admet que les autorités de ce pays ne connaissaient pas sa présence à Addis-Abeba (idem, question 126), assertion d'ailleurs en contradiction avec le fait que sa famille, prétendument déportée en Erythrée, aurait forcément été enregistrée.</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l'intéressée, dont l'origine érythréenne ne peut être retenue, n'a pas établi l'existence d'un risque de cette nature, qu'il provienne des autorités ou de tiers. Dès lors, l'exécution du renvoi en Ethiopie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l'Ethiopie, hors de certaines régions déterminées,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s'agissant de la situation personnelle de l'intéressée, et de sa qualité de femme seule, il y a lieu de retenir ce qui suit :</w:t>
      </w:r>
    </w:p>
    <w:p>
      <w:r>
        <w:rPr>
          <w:b/>
        </w:rPr>
        <w:t>E. 7.3.1</w:t>
      </w:r>
    </w:p>
    <w:p>
      <w:r>
        <w:t>En Ethiopie, si la loi écrite accorde aux femmes les mêmes droits qu'aux hommes et la liberté de décider de leur vie personnelle, son application concrète laisse à désirer et n'est en rien garantie ; le statut réel des femmes éthiopiennes, surtout dans les campagnes, est bien plus déterminé, dans la pratique, par les coutumes socioculturelles d'essence patriarcale, souvent dérivées de la religion, que suivent les diverses communautés habitant le pays (cf. à ce sujet Heinrich Böll-Stiftung, Politischer Jahresbericht Äthiopien 2007-2008, juillet 2008 ; Ministry of Finance and Economic Development, Development Planning and Research Department, Ethiopia Participatory Poverty Assessment 2004-2005, octobre 2005 ; US State Department, Country Report on Human Rights Practices, mars 2010). Malgré les efforts du gouvernement pour favoriser la promotion des femmes et améliorer leur sort, le contexte culturel et religieux entretient et pérennise, surtout en zone rurale, les discriminations qui les touchent (cf. UK Home Office, Ethiopia, janvier 2008). Leur accès à l'éducation est limité, d'où un analphabétisme massif, estimé entre 50% et 70% (cf. Österreichisches Rotes Kreuz [ÖRK]/Accord, Reisebericht Äthiopien, décembre 2004.; Heinrich Böll-Stiftung, op. cit.) ; il en va de même de l'accès aux soins médicaux, ce qui entraîne entre autres conséquences néfastes une lourde mortalité périnatale. En pratique, peu de protection est offerte aux femmes, et aucune en zone rurale. A Addis-Abeba, un centre ouvert par la "Ethiopian Women Lawyers Association" (EWLA) peut leur accorder un abri et un soutien matériel de base, mais ne comporte que vingt places (cf. ÖRK/Accord, op. cit.) ; en outre, cette association a vu ses activités gravement entravées en raison d'une décision prise par le Parlement éthiopien, le 9 janvier 2009, qui pose des limites strictes à l'activité des associations défendant les droits de l'homme. Ces limites s'imposent aux groupes étrangers, ainsi qu'aux associations indigènes financées - comme c'est le cas de l'EWLA - à plus de 10% par des sources étrangères (cf. State Department, op. cit., édition 2010). Quant à l'accès à l'emploi, il est plus difficile pour les femmes, à moins qu'elles ne disposent d'une bonne formation et d'un appui familial, et n'est guère possible qu'en ville, où les normes coutumières sont moins strictes (cf. Ministry of Finance and Economic Development, op. cit.).</w:t>
      </w:r>
    </w:p>
    <w:p>
      <w:r>
        <w:rPr>
          <w:b/>
        </w:rPr>
        <w:t>E. 7.3.2</w:t>
      </w:r>
    </w:p>
    <w:p>
      <w:r>
        <w:t>Dans ce contexte, les chances de réinsertion d'une femme seule dans la capitale, où le coût de la vie et du logement a fortement augmenté en raison de l'exode rural, dépendent de plusieurs facteurs : existence d'une formation professionnelle convenable et d'une bonne santé, possibilité d'accéder à des ressources suffisantes et, avant tout, présence d'un soutien assuré par un réseau social et familial, à défaut duquel il sera très difficile à la femme regagnant l'Ethiopie de trouver un logement et d'assurer sa survie quotidienne (cf. Ethiopian Society of Population Studies and United Nations Population Fund [UNFPA], Gender Inequality and Wo-men's Empowerment, octobre 2008 ; ÖRK/Accord, op. cit.). Pour des raisons culturelles, et sauf combinaison exceptionnelle de facteurs favorables, il est difficile aux femmes seules, sans réseau familial solide, de mener une vie autonome et de trouver accès au marché du travail, même à Addis-Abeba ; en région rurale, une telle possibilité est exclue. Une femme dans cette situation se trouve exposée à des difficultés importantes, et sa seule ressource se situera, à brève échéance et dans le meilleur des cas, dans un travail domestique ou le petit commerce (pour lequel un capital de départ est nécessaire), voire la prostitution (cf. Pathfinder International, Women's Empowerment in Ethiopia, septembre 2007).</w:t>
      </w:r>
    </w:p>
    <w:p>
      <w:r>
        <w:rPr>
          <w:b/>
        </w:rPr>
        <w:t>E. 7.4</w:t>
      </w:r>
    </w:p>
    <w:p>
      <w:r>
        <w:t>Dans le cas d'espèce, la situation personnelle de la recourante apparaît cependant compatible avec un retour en Ethiopie. En effet, elle est jeune, a été scolarisée au niveau primaire et n'a pas allégué de problème de santé particulier. Selon ses dires, elle a par ailleurs toujours vécu à Addis-Abeba avant son départ. Il apparaît en outre que plusieurs personnes l'ont assistée financièrement pour lui permettre de rejoindre le Soudan, puis la Suisse. Ces divers facteurs sont donc de nature à lui permettre une réintégration plus facile dans la capitale. S'agissant des possibilités d'assistance familiale qui lui sont ouvertes, le Tribunal rappelle que la recourante n'a pas rendu vraisemblable son origine érythréenne, ni donc d'avoir été séparée de sa famille dans les circonstances décrites ; il est donc probable qu'elle dispose en Ethiopie d'un réseau familial suffisant pour lui apporter une aide minimale. Il serait également envisageable qu'une aide au retour appropriée lui permette d'entamer une activité économique personnelle.</w:t>
      </w:r>
    </w:p>
    <w:p>
      <w:r>
        <w:rPr>
          <w:b/>
        </w:rPr>
        <w:t>E. 7.5</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