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E-4637/2023 vom 31. August 2023</w:t>
      </w:r>
    </w:p>
    <w:p>
      <w:r>
        <w:t>Bundesverwaltungsgericht, 2023-08-31, FR</w:t>
      </w:r>
    </w:p>
    <w:p>
      <w:r>
        <w:rPr>
          <w:b/>
        </w:rPr>
        <w:t xml:space="preserve">Quelle: </w:t>
      </w:r>
      <w:r>
        <w:t>https://mcp.opencaselaw.ch/entscheid/bvger_E-4637_2023</w:t>
      </w:r>
    </w:p>
    <w:p>
      <w:r>
        <w:t>FR: TAF E-4637/2023 du 31 août 2023</w:t>
      </w:r>
    </w:p>
    <w:p>
      <w:r>
        <w:t>IT: TAF E-4637/2023 del 31 agosto 2023</w:t>
      </w:r>
    </w:p>
    <w:p>
      <w:pPr>
        <w:pStyle w:val="Heading2"/>
      </w:pPr>
      <w:r>
        <w:t>Regeste</w:t>
      </w:r>
    </w:p>
    <w:p>
      <w:r>
        <w:t>Asile (non-entrée en matière) et renvoi (procédure Dublin - art. 31a al. 1 let. b LAsi)</w:t>
      </w:r>
    </w:p>
    <w:p>
      <w:pPr>
        <w:pStyle w:val="Heading2"/>
      </w:pPr>
      <w:r>
        <w:t>Erwägungen</w:t>
      </w:r>
    </w:p>
    <w:p>
      <w:r>
        <w:rPr>
          <w:b/>
        </w:rPr>
        <w:t>E. 28</w:t>
      </w:r>
    </w:p>
    <w:p>
      <w:r>
        <w:t>août 2023,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w:t>
      </w:r>
    </w:p>
    <w:p>
      <w:r>
        <w:t>E-4637/2023 Page 5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(cf. art. 20 par. 1 du règlement Dublin III), que dans une procédure de prise en charge (anglais : « take charge »), comme en l’espèce, les critères énumérés au chapitre III du règlement précité (art. 8 à 15) doivent être appliqués successivement (principe de l’application hiérarchique des critères de compétence, cf. art. 7 par. 1 dudit règlement), que l'Etat responsable de l'examen d'une demande de protection internationale en vertu dudit règlement est tenu de prendre en charge dans les conditions prévues aux art. 21, 22 et 29 le demandeur qui a introduit une demande dans un autre Etat membre (cf. art. 18 par. 1 let. a du règlement Dublin III), qu'il doit notamment le faire lorsqu'il a délivré au demandeur d'asile un visa en cours de validité (cf. art. 12 par. 2 du règlement Dublin III) ou lorsque le demandeur est titulaire d'un visa périmé depuis moins de six mois lui ayant effectivement permis d'entrer sur le territoire d'un Etat membre (cf. art. 12 par. 4 du règlement Dublin III), qu'en l'occurrence, les investigations entreprises par le SEM, le</w:t>
      </w:r>
    </w:p>
    <w:p>
      <w:r>
        <w:rPr>
          <w:b/>
        </w:rPr>
        <w:t>E. 31</w:t>
      </w:r>
    </w:p>
    <w:p>
      <w:r>
        <w:t>janvier 1967 (Prot., RS 0.142.301), à la CEDH et à la Convention du 10 décembre 1984 contre la torture et autres peines ou traitements cruels, inhumains ou dégradants (Conv. torture, RS 0.105) et, à ce titre, en applique les dispositions,</w:t>
      </w:r>
    </w:p>
    <w:p>
      <w:r>
        <w:t>E-4637/2023 Page 7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comme de la directive Accueil (cf. directive no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 que, dans un tel cas, l'Etat requérant doit renoncer au transfert, que, dans un récent arrêt de référence rendu à cinq juges et coordonné au sein des Cours IV, V et VI (E-1488/2020 du 22 mars 2023), le Tribunal est arrivé à la conclusion que les requérants transférés en Croatie sur la base du règlement Dublin III avaient en principe accès à la procédure d'asile dans ce pays, qu’il a ainsi retenu que, dans le cadre tant d'une procédure de prise en charge (« take charge ») que d’une procédure de reprise en charge (« take back »), les personnes transférées ne risquaient pas, selon une haute probabilité, d’être exposées à un risque de violation de leurs droits découlant du principe de non-refoulement,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w:t>
      </w:r>
    </w:p>
    <w:p>
      <w:r>
        <w:t>E-4637/2023 Page 8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in casu, l'application de cette disposition ne se justifie pas dans le cas particulier, que c’est dès lors à juste titre que le SEM a considéré que cette disposition règlementaire ne s’opposait pas à ce que la Croatie soit désignée comme l’Etat membre responsable de la procédure d’asile du recourant (sur la base de l’art. 18 par. 1 let. a du règlement Dublin III), qu’en application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 qu'il peut également admettre cette responsabilité pour des raisons humanitaires au sens de l'art. 29a al. 3 de l’ordonnance 1 sur l’asile du 11 août 1999 (OA 1, RS 142.311 ; cf. ATAF 2017 VI/5 consid. 8.5.2 et jurisp. cit.), qu’en l’espèce, interrogé lors de son entretien « Dublin » sur ses objections à son transfert en Croatie, l’intéressé a uniquement fait valoir qu’il ne connaissait personne dans cet Etat et qu’il souhaitait que la Suisse traite sa demande d’asile, car il aurait des activités professionnelles basées dans ce pays, que, dans son écrit du 26 juin 2023, il a demandé l’application par la Suisse de la clause de souveraineté, en raison de sa « vulnérabilité particulière » découlant de son état de santé, que dans son recours, il invoque uniquement ne pas vouloir être renvoyé dans ce pays car il n’a jamais voulu y déposer de demande d’asile et que les conditions d’existence dans cet Etat « ne sont pas bonnes » ; qu’il ajoute qu’il ne pourrait pas y vivre de manière décente et que ses droits n’y seraient pas respectés,</w:t>
      </w:r>
    </w:p>
    <w:p>
      <w:r>
        <w:t>E-4637/2023 Page 9 que, préliminairement, il y a lieu de rappeler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cela étant dit, l’intéressé n’a pas démontré l'existence d'un risque concret et avéré que la Croatie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que, de même, il n’a fourni aucun élément concret susceptible de démontrer que les autorités croates refuseraient de le prendre en charge et de mener une procédure d’examen de sa demande de protection internationale, en violation de la directive Procédure, que, comme le Tribunal l’a constaté dans son arrêt de référence E-1488/2020 précité, les requérants transférés en Croatie sur la base dudit règlement ont en principe accès à la procédure d'asile dans ce pays, et ce indépendamment du fait qu’il s’agisse d’un cas de prise ou de reprise en charge (cf. arrêt précité consid. 9.4.4 et 9.5), que l'intéressé n'a par ailleurs pas apporté d'indices objectifs, concrets et sérieux que ses conditions d'existence en Croatie revêtiraient un tel degré de pénibilité et de gravité qu'elles seraient constitutives d'un traitement contraire à l'art. 3 CEDH ou 3 Conv. torture, que, comme cela ressort de son entretien « Dublin », il n'a fait que transiter par la Croatie, en utilisant le visa touristique délivré par cet Etat, sans chercher à y déposer une demande de protection, que, selon ses propres déclarations, une fois entré en Croatie, il n’y serait demeuré que très peu de temps et aurait immédiatement pris un bus afin de rejoindre la Suisse, qu'il n'a donc, de toute évidence, pas pu pâtir jusqu'à présent de défaillances ni de la procédure d'asile ni des conditions d'accueil des requérants d'asile dans ce pays,</w:t>
      </w:r>
    </w:p>
    <w:p>
      <w:r>
        <w:t>E-4637/2023 Page 10 qu'à son retour sur le territoire croate, il lui reviendra d'entreprendre les démarches nécessaires à l'ouverture d'une procédure de protection afin de bénéficier pleinement des conditions matérielles prévues par la directive Accueil, que s'agissant de son état de santé, il importe de rappeler que, selon la jurisprudence de la Cour européenne des droits de l'Homme (CourEDH ; cf. arrêt Paposhvili c. Belgique du 13 décembre 2016 [GC], requête n° 41738/10),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 qu’en l’occurrence, il ressort des nombreux documents médicaux figurant au dossier du SEM que l’intéressé est atteint, depuis 33 ans, d’une maladie chronique rare, le syndrome de Behçet (une vascularite systémique, évoluant par poussées d'intensités variables et dont le traitement repose essentiellement sur la prise d’immunosuppresseurs, afin de réduire la fréquence et la sévérité des poussées et de prévenir leurs complications) ; que, lors de l’arrivée en Suisse de l’intéressé, cette maladie s’exprimait uniquement par la présence d’aphtes dans la bouche ainsi que de problèmes dentaires, et était pour le reste anamnestique (sans autre symptôme), que, toujours selon les rapports médicaux versés au dossier de l’autorité de première instance, le recourant souffre en outre d’une hypertension artérielle (mal contrôlée à son arrivée en Suisse), ayant nécessité un traitement médicamenteux adapté à plusieurs reprises ; qu’il a également été pris en charge pour une otite externe (ainsi que des problèmes de</w:t>
      </w:r>
    </w:p>
    <w:p>
      <w:r>
        <w:t>E-4637/2023 Page 11 pression et de pesanteur qui en ont résulté), une gastrite et des lithiases urinaires non obstructives, que les deux documents médicaux les plus récents, à savoir une « lettre de sortie provisoire » et un rapport médical datés du (…) août 2023, tous deux établis par (…), font état d’une courte hospitalisation du (…) au (…) août 2023, suite à la pose d’une sonde urétérale en « double J » en lien avec des calculs rénaux (néphrolithiases droites) ; que, suite à une évolution favorable de la fonction rénale, l’intéressé a pu quitter l’hôpital après 24 heures de surveillance, le (…) août 2023 ; que la sonde lui sera retirée prochainement ; que l’intéressé a en outre consulté les urgences deux jours après sa sortie de l’hôpital, en raison d’hématuries macroscopiques (en lien avec la pose de la sonde) ; que les médecins avaient toutefois relevé que tout était dans la normale et avaient constaté que l’intéressé allait cliniquement mieux et qu’il n’y avait aucune péjoration ; qu’en conséquence, seule une surveillance avait été préconisée, sans autre prise en charge, que, compte tenu de la jurisprudence restrictive en la matière, il y a lieu de considérer que les problèmes médicaux précités, bien qu'ils ne sauraient être minimisés, ne sont pas d'une gravité telle qu'il se justifierait de renoncer au transfert du recourant vers la Croatie (cf., à ce sujet, arrêt de la CourEDH Paposhvili précité), qu’en effet, les diagnostics posés et les traitements prescrits ne sont pas révélateurs de maladies d'une gravité ou d'une spécificité telle qu'elles ne pourraient pas être traitées en Croatie (sur les possibilités de prise en charge médicale dans le domaine de l'asile en Croatie, cf. arrêts du Tribunal E-2952/2023 du 31 mai 2023 consid. 7.3 et E-474/2023 du 16 mai 2023 consid. 6.2.4), qu’à l’appui de son recours, l’intéressé n’a d’ailleurs nullement invoqué que son état de santé s’opposerait à son transfert dans cet Etat, qu’en tout état de cause – et bien que ce point ne soit pas contesté –, les documents médicaux établis à ce jour ne mentionnent pas la nécessité d'entreprendre un suivi médical urgent, en lien avec les maladies dont souffre le recourant, et auquel il n'aurait pas accès en Croatie, qu’on rappellera enfin que la Croatie, qui est liée par la directive Accueil, doit faire en sorte que les demandeurs d'asile reçoivent les soins médicaux nécessaires qui comportent, au minimum, les soins urgents et le traitement</w:t>
      </w:r>
    </w:p>
    <w:p>
      <w:r>
        <w:t>E-4637/2023 Page 12 essentiel des maladies graves, et fournir l'assistance médicale ou autre nécessaire aux demandeurs ayant des besoins particuliers en matière d'accueil (cf. art. 19 par. 1 et 2 de ladite directive), que, dès lors, il y a lieu de retenir que l'état de santé du recourant ne saurait faire obstacle à l'exécution de son transfert vers la Croatie, que, cela étant, il incombera au SEM, le cas échéant, de tenir compte de l'état de santé de l’intéressé dans le cadre des modalités de son transfert, avec une évaluation de ses capacités à être transféré et, au besoin, avec la transmission aux autorités croates des informations relatives à ses besoins en termes de soins de santé, comme prévu par les art. 31 et 32 du règlement Dublin III, afin de permettre, en cas de nécessité, une prise en charge médicale adéquate, étant rappelé que l’intéressé a donné son accord écrit à la transmission d'informations médicales, que, dans ces conditions, le transfert du recourant en Croatie est conforme aux engagements de droit international de la Suisse, que par ailleurs, compte tenu des pièces au dossier,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Croatie, en application de l'art. 44 LAsi, aucune exception à la règle générale du renvoi n'étant réalisée (cf. art. 32 OA 1), qu’au vu de ce qui précède, le recours est rejeté, que, s'avérant manifestement infondé, il l'est dans une procédure à juge unique, avec l'approbation d'un second juge (cf. art. 111 let. e LAsi),</w:t>
      </w:r>
    </w:p>
    <w:p>
      <w:r>
        <w:t>E-4637/2023 Page 13 qu'il est dès lors renoncé à un échange d'écritures, le présent arrêt n'étant motivé que sommairement (cf. art. 111a al. 1 et 2 LAsi), que, dans la mesure où il est statué immédiatement sur le fond, les requêtes d’octroi de l’effet suspensif et d’exemption du versement d'une avance de frais sont sans objet, les mesures superprovisionnelles ordonnées le 29 août 2023 devenant pour le reste caduques, que la demande d’assistance judiciaire totale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 page suivante)</w:t>
      </w:r>
    </w:p>
    <w:p>
      <w:r>
        <w:t>E-4637/2023 Page 14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