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E-4626/2023 vom 26. Juli 2023</w:t>
      </w:r>
    </w:p>
    <w:p>
      <w:r>
        <w:t>Bundesverwaltungsgericht, 2023-07-26, DE</w:t>
      </w:r>
    </w:p>
    <w:p>
      <w:r>
        <w:rPr>
          <w:b/>
        </w:rPr>
        <w:t xml:space="preserve">Quelle: </w:t>
      </w:r>
      <w:r>
        <w:t>https://mcp.opencaselaw.ch/entscheid/bvger_E-4626_2023_d20230726</w:t>
      </w:r>
    </w:p>
    <w:p>
      <w:r>
        <w:t>FR: TAF E-4626/2023 du 26 juillet 2023</w:t>
      </w:r>
    </w:p>
    <w:p>
      <w:r>
        <w:t>IT: TAF E-4626/2023 del 26 luglio 2023</w:t>
      </w:r>
    </w:p>
    <w:p>
      <w:pPr>
        <w:pStyle w:val="Heading2"/>
      </w:pPr>
      <w:r>
        <w:t>Regeste</w:t>
      </w:r>
    </w:p>
    <w:p>
      <w:r>
        <w:t>Asyl (ohne Wegweisungsvollzug) | Asyl (ohne Wegweisungsvollzug); Verfügung des SEM vom 26.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w:t>
      </w:r>
    </w:p>
    <w:p>
      <w:r>
        <w:t>E-4626/2023 Seite 4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Die Vorinstanz begründet ihren Asylentscheid damit, dass die erlittene Vergewaltigung aus keinem in Art. 3 Abs. 1 AsylG genannten Verfolgungs- motiv erfolgt sei. Die geltend gemachten Nachteile seien auf die kriminellen Handlungen des Vergewaltigers zurückzuführen. Weiter sei auch eine ob- jektiv begründete Furcht vor einer zukünftigen Verfolgung sowohl durch den Vergewaltiger als auch durch ihre Familienangehörigen zu verneinen. In Bezug auf den Vergewaltiger führt die Vorinstanz aus, dass niemand je etwas von ihm gehört habe und keine Hinweise vorliegen würden, dass dieser noch ein Interesse an der Beschwerdeführerin haben würde. Hin- sichtlich der (…) wisse einerseits nur (…) von der Vergewaltigung und es gebe keine Anhaltspunkte, dass sich dies in Zukunft ändern würde. Ande- rerseits würden auch die Befürchtungen allfälliger Nachteile lediglich auf Vermutungen der Beschwerdeführerin und (…) beruhen.</w:t>
      </w:r>
    </w:p>
    <w:p>
      <w:r>
        <w:rPr>
          <w:b/>
        </w:rPr>
        <w:t>E. 4.2</w:t>
      </w:r>
    </w:p>
    <w:p>
      <w:r>
        <w:t>Dem hält die Beschwerdeführerin in der Rechtsmitteleingabe im We- sentlichen entgegen, dass die Vorinstanz die Kenntnis und das Verständnis über die Konzeption des Phänomens Ehrenmord in Syrien vermissen lasse. Ehrenmorde seien dort noch immer verbreitet und akzeptiert. Ent- sprechend sei nicht die erfolgte Vergewaltigung wesentlich für die asyl- rechtliche Bedeutung, sondern die daraus resultierende konkrete Gefahr des Ehrenmordes. Dies habe sie klar zum Ausdruck gebracht und beruhe entgegen den Ausführungen der Vorinstanz nicht bloss auf Vermutungen. Indem sie die Gefahr des Ehrenmordes als Folge der als glaubhaft erach- teten Vergewaltigung nicht umfassend geprüft habe, habe die Vorinstanz das rechtliche Gehör verletzt.</w:t>
      </w:r>
    </w:p>
    <w:p>
      <w:r>
        <w:rPr>
          <w:b/>
        </w:rPr>
        <w:t>E. 5.1</w:t>
      </w:r>
    </w:p>
    <w:p>
      <w:r>
        <w:t>Die von der Beschwerdeführerin geltend gemachte formelle Rüge der Ge- hörsverletzung ist vorab zu beurteilen, da sie zur Kassation der angefoch- tenen Verfügung führen könnte.</w:t>
      </w:r>
    </w:p>
    <w:p>
      <w:r>
        <w:rPr>
          <w:b/>
        </w:rPr>
        <w:t>E. 5.2</w:t>
      </w:r>
    </w:p>
    <w:p>
      <w:r>
        <w:t>Gemäss Art. 29 VwVG haben die Parteien Anspruch auf rechtliches Gehör, welches als Mitwirkungsrecht alle Befugnisse umfasst, die einer</w:t>
      </w:r>
    </w:p>
    <w:p>
      <w:r>
        <w:t>E-4626/2023 Seite 5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5.3</w:t>
      </w:r>
    </w:p>
    <w:p>
      <w:r>
        <w:t>Das Gericht stellt fest, dass den Akten keine Anhaltspunkte für die gel- tend gemachte Gehörsverletzung entnommen werden können. Vielmehr hat sich die Vorinstanz in ihren Erwägungen mit dem Vorbringen einer Ver- folgung durch die Familie auseinandergesetzt und dabei festgehalten, dass diese den Anforderungen an die Flüchtlingseigenschaft nicht standzuhal- ten vermögen. Mithin ist der diesbezügliche Eventualantrag auf Rückwei- sung der Sache zur weiteren Sachverhaltsermittlung und Neubeurteilung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Nach Prüfung der Akten durch das Gericht ist in Übereinstimmung mit der Vorinstanz festzustellen, dass die Asylvorbringen der Beschwerdeführerin</w:t>
      </w:r>
    </w:p>
    <w:p>
      <w:r>
        <w:t>E-4626/2023 Seite 6 den Anforderungen an die Flüchtlingseigenschaft gemäss Art. 3 AsylG nicht standzuhalten vermögen, weshalb vorab auf die zutreffenden Erwä- gungen der Vorinstanz zu verweisen ist. Die Vorinstanz hat ausgehend von der Glaubhaftigkeit der erlittenen Vergewaltigung zu Recht dargelegt, dass dieser keine asylrechtliche Relevanz zukommt (vgl. angefochtenen Verfü- gung S. 4 f.), weil dafür auch bei einem schwerwiegenden Nachteil wie ei- ner Vergewaltigung eine flüchtlingsrechtlich relevante (Gesamt-)Motivation zugrunde liegen müsste (Urteile des BVGer E-1467/2020 vom 26. Mai 2023 E. 5.4.2 m.w.H.; E-1819/2018 vom 28. Mai 2018 E. 7.2 m.w.H.). Dem setzt die Beschwerdeführerin in ihrer Rechtsmitteleingabe auch nichts ent- gegen. Diese stützt ihr asylbeachtliches Vorbringen auf die konkrete Ge- fahr, Opfer eines Ehrenmordes durch ihren Vater, ihren Schwiegervater be- ziehungsweise durch ihre Familie zu werden. Auch diesbezüglich ist der Vorinstanz zu zustimmen, dass die dargelegte Furcht nicht die Flüchtlings- eigenschaft gemäss Art. 3 Asyl begründet. Nicht nur führt die Beschwerde- führerin in der Anhörung aus, dass niemand ausser ihrer (…) von der Ver- gewaltigung Kenntnis habe, sondern auch, dass sie weder nochmals etwas über den Vergewaltiger gehört habe, noch dass sie nach ihm gefragt hätte oder ihn kennen würde (vgl. SEM-eAkten A31 F54 ff. und F70 ff.). Ebenso sei es ihre (…) gewesen, die gewollt habe, dass sie Syrien verlasse, da diese befürchte, dass, wenn ihr Ehemann sie nicht töten würde, ihr Vater dies tun wolle (vgl. SEM-eAkten A31 F52 f.). Sodann verneinte die Be- schwerdeführerin in der Anhörung zuerst einen anderen Fluchtgrund als jenen, dass die (…) nicht wolle, dass sie weiter in ihrem Heimatland bleibe, wobei sie anschliessend ergänzte, dass sie befürchte, dass ihre Familie, wenn sie «es» herausfinden würde, sie töten wolle (vgl. SEM- eAkten A31 F53 und F108). Weiter sei es ebenfalls die (…) gewesen, die ihrem Ehemann gesagt habe, dass es gut wäre, wenn sie ausreisen würde und dass sie selber sich vorstellen könne, mit ihrem Ehemann wieder zu- sammenzuleben, ohne offen darüber zu sprechen, was ihr widerfahren sei (vgl. SEM-eAkten A31 F71 und F76). Vor diesem Hintergrund ist die dar- gelegte Furcht der Beschwerdeführerin, es drohe ihr seitens ihrer Familie ein Ehrenmord, als objektiv unbegründet zu erachten, da offenbar niemand ausser der (…) von der Vergewaltigung weiss und auch nicht vorgebracht wird, dass ihre Familie zwischenzeitlich von der Vergewaltigung erfahren habe und sodann vor dem Gesagten weiter nicht davon auszugehen ist, dass ihre (…) darüber sprechen würde und ihre (…) mithin ihrer Meinung nach einer Gefahr aussetzen würde.</w:t>
      </w:r>
    </w:p>
    <w:p>
      <w:r>
        <w:t>E-4626/2023 Seite 7</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Der Vollzug der Wegweisung wurde zugunsten einer vorläufigen Auf- nahme aufgeschoben, womit die Beschwerdeführerin über ein vorüberge- hendes Bleiberecht in der Schweiz verfügt. Da die Wegweisungsvollzugs- hindernisse alternativer Natur sind (vgl. BVGE 2009/51 E. 5.4),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Die Beschwerdeführerin beantragt die Gewährung der unentgeltli- chen Rechtspflege gemäss Art. 65 Abs. 1 VwVG. Aufgrund der vorstehen- den Erwägungen ergibt sich jedoch, dass ihre Begehren als aussichtslos zu gelten haben. Damit ist eine der kumulativ zu erfüllenden Voraussetzun- gen nicht gegeben, weshalb dem Gesuch nicht stattzugeben ist. Aus dem- selben Grund kann auch dem Gesuch um unentgeltliche Rechtsverbei- ständung nicht stattgegeben werden.</w:t>
      </w:r>
    </w:p>
    <w:p>
      <w:r>
        <w:rPr>
          <w:b/>
        </w:rPr>
        <w:t>E. 10.2</w:t>
      </w:r>
    </w:p>
    <w:p>
      <w:r>
        <w:t>Bei diesem Ausgang des Verfahrens sind die Kosten von Fr. 750.– (Art. 1–3 des Reglements vom 21. Februar 2008 über die Kosten und Ent- schädigungen vor dem Bundesverwaltungsgericht [VGKE], SR 173.320.2) der Beschwerdeführerin aufzuerlegen. Mit vorliegendem Urteil ist der An- trag auf Verzicht auf Erhebung eines Kostenvorschusses gegenstandslos geworden.</w:t>
      </w:r>
    </w:p>
    <w:p>
      <w:r>
        <w:t>(Dispositiv nächste Seite)</w:t>
      </w:r>
    </w:p>
    <w:p>
      <w:r>
        <w:t>E-4626/2023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