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E-4626/2019 vom 16. März 2021</w:t>
      </w:r>
    </w:p>
    <w:p>
      <w:r>
        <w:t>Bundesverwaltungsgericht, 2021-03-16, DE</w:t>
      </w:r>
    </w:p>
    <w:p>
      <w:r>
        <w:rPr>
          <w:b/>
        </w:rPr>
        <w:t xml:space="preserve">Quelle: </w:t>
      </w:r>
      <w:r>
        <w:t>https://mcp.opencaselaw.ch/entscheid/bvger_E-4626_2019</w:t>
      </w:r>
    </w:p>
    <w:p>
      <w:r>
        <w:t>FR: TAF E-4626/2019 du 16 mars 2021</w:t>
      </w:r>
    </w:p>
    <w:p>
      <w:r>
        <w:t>IT: TAF E-4626/2019 del 16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Auf die Durchführung eines Schriftenwechsels wurde in Anwendung von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hat die Vorbringen der Beschwerdeführerin, wegen des Bürgerkrieges und der damit verbundenen unsicheren Situation ausgereist zu sein, als nicht asylrelevant erachtet. Sie führte hierzu aus, dass die Mehrheit der Bevölkerung von der Bürgerkriegssituation in Syrien betroffen sei. Im Weiteren lägen keine konkreten Anhaltspunkte dafür vor, dass die Beschwerdeführerin wegen des verweigerten Militärdienstes ihres Vaters und ihres Bruders asylrelevanten Behelligungen ausgesetzt wäre.</w:t>
      </w:r>
    </w:p>
    <w:p>
      <w:r>
        <w:rPr>
          <w:b/>
        </w:rPr>
        <w:t>E. 6</w:t>
      </w:r>
    </w:p>
    <w:p>
      <w:r>
        <w:t>Auf Beschwerdeebene wurde im Wesentlichen geltend gemacht, aufgrund der Tatsache, dass der Vater der Beschwerdeführerin trotz Aufforderung nicht in den Reservedienst eingetreten sei, werde er von den syrischen Behörden als Wehrdienstverweigerer betrachtet, weshalb ihm eine Haftstrafe drohe. Wegen der erfolgten Wehrdienstverweigerung würde auch die Beschwerdeführerin als Tochter «zu leiden haben». Reflexverfolgung werde in Syrien durch verschiedene Konfliktparteien angewendet.</w:t>
      </w:r>
    </w:p>
    <w:p>
      <w:r>
        <w:rPr>
          <w:b/>
        </w:rPr>
        <w:t>E. 7</w:t>
      </w:r>
    </w:p>
    <w:p>
      <w:r>
        <w:t>Die Beschwerdeführerin gibt an, ausschliesslich aufgrund der allgemeinen Bürgerkriegssituation in Syrien ausgereist zu sein. Diese Vorbringen sind mangels erforderlicher Gezieltheit nicht asylrelevant. Dabei ist festzuhalten, dass keine Anhaltspunkte dafür vorliegen, dass der geltend gemachte Entführungsversuch nicht bloss Ausdruck der allgemeinen schwierigen Sicherheitssituation wäre. Entgegen der Auffassung in der Beschwerde ist auch nicht davon auszugehen, dass sie wegen der Dienstverweigerung ihres (politisch nicht aktiven) Vaters bei einer Rückkehr Reflexverfolgung ausgesetzt wäre.</w:t>
      </w:r>
    </w:p>
    <w:p>
      <w:r>
        <w:rPr>
          <w:b/>
        </w:rPr>
        <w:t>E. 8</w:t>
      </w:r>
    </w:p>
    <w:p>
      <w:r>
        <w:t>Zusammenfassend ist somit festzuhalten, dass das SEM zu Recht die Flüchtlingseigenschaft der Beschwerdeführererin verneint und die Asylgesuche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Die Wegweisung wurde demnach zu Recht angeordnet (vgl. BVGE 2013/37 E 4.4; 2009/50 E. 9, je m.w.H.).</w:t>
      </w:r>
    </w:p>
    <w:p>
      <w:r>
        <w:rPr>
          <w:b/>
        </w:rPr>
        <w:t>E. 9.3</w:t>
      </w:r>
    </w:p>
    <w:p>
      <w:r>
        <w:t>Mit der angefochtenen Verfügung wurde die Beschwerdeführerin wegen Unzumutbarkeit des Wegweisungsvollzugs vorläufig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von Fr. 750.- (Art. 1-3 des Reglements vom 21. Februar 2008 über die Kosten und Entschädigungen vor dem Bundesverwaltungsgericht [VGKE, SR 173.320.2]) der Beschwerdeführerin aufzuerlegen (Art. 63 Abs. 1 VwVG), welche durch den geleisteten Kostenvorschuss in gleicher Höhe gedeckt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