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E-4623/2019 vom 16. März 2021</w:t>
      </w:r>
    </w:p>
    <w:p>
      <w:r>
        <w:t>Bundesverwaltungsgericht, 2021-03-16, DE</w:t>
      </w:r>
    </w:p>
    <w:p>
      <w:r>
        <w:rPr>
          <w:b/>
        </w:rPr>
        <w:t xml:space="preserve">Quelle: </w:t>
      </w:r>
      <w:r>
        <w:t>https://mcp.opencaselaw.ch/entscheid/bvger_E-4623_2019</w:t>
      </w:r>
    </w:p>
    <w:p>
      <w:r>
        <w:t>FR: TAF E-4623/2019 du 16 mars 2021</w:t>
      </w:r>
    </w:p>
    <w:p>
      <w:r>
        <w:t>IT: TAF E-4623/2019 del 16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Vorliegend handelt es sich, wie nachfolgend aufgezeigt, um eine solche, weshalb der Beschwerdeentscheid nur summarisch zu begründen ist (Art. 111a Abs. 2 AsylG). Auf die Durchführung eines Schriftenwechsels wurde in Anwendung von Art. 111a Abs. 1 AsylG verzichtet. Antragsgemäss wird das Verfahren in deutscher Sprache geführt.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asylsuchende Person muss darlegen, dass sie selber von einer konkreten, gegen sie gerichteten Verfolgungshandlung betroffen war oder begründete Furcht hat, Opfer einer derartigen Verfolgungshandlung zu werden (Erfordernis der Gezieltheit der Verfolgung).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erachtete die Vorbringen des Beschwerdeführers A._______, wegen seiner Verweigerung, in den Reservedienst einzurücken, Behelligungen durch die syrischen Behörden zu befürchten, als nicht asylrelevant. Sie führte hierzu mit Hinweis auf die Praxis des Bundesverwaltungsgerichts (vgl. BVGE 2015/3 vom 18. Februar 2015) aus, dass eine Wehrdienstverweigerung oder Desertion die Flüchtlingseigenschaft nicht per se zu begründen vermöge, sondern nur dann, wenn damit eine Verfolgung im Sinne von Art. 3 AsylG verbunden sei. Laut aktueller Lageeinschätzung unterstellten die syrischen Behörden nicht allen Wehrdienstverweigern oder Deserteuren eine regierungsfeindliche Haltung. Nur bei Vorliegen spezifischer politischer Faktoren könne davon ausgegangen werden, dass die syrischen Behörden eine Wehdienstverweigerung oder Desertion als Stellungnahme für die Opposition einstuften und entsprechend bestrafen. Daraus folge, dass im syrischen Kontext eine Bestrafung wegen Wehrdienstverweigerung oder Desertion nur dann aus Gründen im Sinne von Art. 3 AsylG erfolgte, wenn zusätzliche einzelfallspezifische Risikofaktoren vorlägen (vgl. BVGer-Urteil E-4263/2018 vom 12. September 2018). Vorliegend bestünden jedoch keine solchen Risikofaktoren. Die Probleme, die der Beschwerdeführer A._______ während des regulären Militärdienstes gehabt habe, beruhten nicht auf einem Verfolgungsmotiv gemäss Art. 3 AsylG, sondern seien wegen des verspäteten Einrückens in den Dienst erfolgt. Er habe keine Verfolgungsmassnahmen aufgrund eigener politischer Aktivitäten oder wegen derjenigen seiner Familienangehörigen (Bruder vormals bei der PKK, Teilnahme seiner Kinder an Demonstrationen) erlitten. Es sei nicht davon auszugehen, dass die Ausreise- oder Einreisestempel zu einer Verfolgung durch die syrischen Behörden führten, müsse es doch zu Tausenden von Grenzübertritten und damit Stempeln in den Pässen gekommen sein. Die eingereichten Beweismittel beträfen unbestrittene Sachverhalte, weshalb sie an der Würdigung des Sachverhalts nichts änderten.</w:t>
      </w:r>
    </w:p>
    <w:p>
      <w:r>
        <w:rPr>
          <w:b/>
        </w:rPr>
        <w:t>E. 6</w:t>
      </w:r>
    </w:p>
    <w:p>
      <w:r>
        <w:t>Auf Beschwerdeebene wurde im Wesentlichen geltend gemacht, aufgrund der Tatsache, dass der Beschwerdeführer A._______ trotz Aufforderung nicht in den Reservedienst eingetreten sei, werde er von den syrischen Behörden als Wehrdienstverweigerer betrachtet, weshalb ihm eine Haftstrafe drohe. Wegen der erfolgten Wehrdienstverweigerung würden auch die Familienangehörigen des Beschwerdeführers «zu leiden haben». Auch wegen der Stempel in seinem Reisepass müsse er Verfolgung befürchten.</w:t>
      </w:r>
    </w:p>
    <w:p>
      <w:r>
        <w:rPr>
          <w:b/>
        </w:rPr>
        <w:t>E. 7.1</w:t>
      </w:r>
    </w:p>
    <w:p>
      <w:r>
        <w:t>Zur Stützung seiner Vorbringen, als Reservist in den Militärdienst einberufen worden zu sein, reichte der Beschwerdeführer A._______ einen entsprechenden Einberufungsbefehl ein, dessen Beweiswert aufgrund seines Erscheinungsbildes beziehungsweise seiner Beschaffenheit (vorgedrucktes Dokument mit Nassstempel und Originalunterschrift und eingefügtem Foto des Beschwerdeführers) und der leichten Fälschbarkeit und Käuflichkeit syrischer Dokumente als gering einzustufen ist. Es steht daher nicht mit Bestimmtheit fest, ob der Beschwerdeführer tatsächlich zum Reservedienst einberufen wurde. Die Vorinstanz hat sich zur Authentizität des eingereichten Einberufungsbefehls nicht geäussert und damit die Glaubhaftigkeit des Vorbringens nicht abschliessend beurteilt.</w:t>
      </w:r>
    </w:p>
    <w:p>
      <w:r>
        <w:rPr>
          <w:b/>
        </w:rPr>
        <w:t>E. 7.2</w:t>
      </w:r>
    </w:p>
    <w:p>
      <w:r>
        <w:t>Unabhängig von der Frage der Glaubhaftigkeit hat sie die Asylrelevanz der geltend gemachten Missachtung des Einberufungsbefehls verneint.</w:t>
      </w:r>
    </w:p>
    <w:p>
      <w:r>
        <w:rPr>
          <w:b/>
        </w:rPr>
        <w:t>E. 7.2.1</w:t>
      </w:r>
    </w:p>
    <w:p>
      <w:r>
        <w:t>Zur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gegnerische Kombattanten aufgefasst werden -, seit dem Jahr 2011 in grosser Zahl nicht nur von Inhaftierung, sondern auch von Folter und aussergerichtlicher Hinrichtung betroffen sind. Bei Wehrdienstverweigerung im syrischen Kontext ist nur dann eine asylrelevante Strafe zu befürchten,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u.a. Urteile E-5262/2018 vom 19. Dezember 2018, E. 6.1, E-3366/2018 vom 4. Juni 2019 E. 6.3.1, E-2304/2020 vom 15. Mai 2020 E. 6.3). Dies gilt auch unter Berücksichtigung der jüngsten Entwicklungen in Syrien. Hierzu ist festzustellen, dass der Beschwerdeführer nach eigenen Angaben nie politisch tätig war. Auch in Berücksichtigung der Aktivitäten von Familienangehörigen bestehen keine konkreten Anhaltspunkte dafür, dass er die Aufmerksamkeit der syrischen Behörden auf sich gezogen hätte. So ist festzuhalten, dass die jugendlichen Kinder des Beschwerdeführers zwar offenbar an Demonstrationen teilnahmen, ohne allerdings dadurch in den Fokus der Behörden geraten zu sein. Insbesondere der auch für die YPG im geringen Ausmass aktive Sohn I._______ wurde offenbar vom Beschwerdeführer vorsorglich in die Türkei gebracht, bevor dieser behördlichen Behelligungen ausgesetzt worden war. Der Tod des bei der PKK aktiven Bruder liegt heute bereits zwanzig Jahre zurück und ist daher nicht als erschwerender Umstand für den Beschwerdeführer zu betrachten. Dies umso mehr, als der Beschwerdeführer auch nicht angab, wegen seines Bruders je einmal von den Behörden behelligt worden zu sein. Auch die blosse Tatsache, dass der Reisepass des Beschwerdeführers aufgrund zahlreicher Reisen in die Türkei entsprechende Stempelungen aufweist, vermag den ansonsten unbescholtenen Beschwerdeführer für die syrischen Behörden nicht ernsthaft verdächtig erscheinen zu lassen. Mit dem SEM ist schliesslich festzuhalten, dass es sich bei der während des Militärdienstes erlebten Tätlichkeit um eine simple disziplinarische Massnahme handelte, welcher keinerlei Verfolgungsmotiv zugrunde lag. Aus diesen Gründen folgt, dass keine Hinweise dafür vorliegen, dass der Beschwerdeführet als Regimegegner angesehen werden könnte und somit aus politischen Gründen eine unverhältnismässige Strafe zu befürchten hätte.</w:t>
      </w:r>
    </w:p>
    <w:p>
      <w:r>
        <w:rPr>
          <w:b/>
        </w:rPr>
        <w:t>E. 7.3</w:t>
      </w:r>
    </w:p>
    <w:p>
      <w:r>
        <w:t>Schliesslich ist festzuhalten, dass die blosse Tatsache der Asylgesuchstellung in der Schweiz nicht zur Annahme führt,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weshalb die Furcht vor asylrelevanten Massnahmen im Falle einer Rückkehr nicht begründet ist.</w:t>
      </w:r>
    </w:p>
    <w:p>
      <w:r>
        <w:rPr>
          <w:b/>
        </w:rPr>
        <w:t>E. 8</w:t>
      </w:r>
    </w:p>
    <w:p>
      <w:r>
        <w:t>Somit hat das SEM die Flüchtlingseigenschaft des Beschwerdeführers zu Recht verneint. Dies gilt auch für die Beschwerdeführenden B._______ und C._______. (Ehefrau und Sohn des Beschwerdeführers), welche keine eigenen Asylgründe geltend machten, sondern ausschliesslich aufgrund der allgemeinen Bürgerkriegssituation in Syrien ausgereist sind (fehlende Gezieltheit). Dabei ist festzuhalten, dass keine Anhaltspunkte dafür vorliegen, dass der geltend gemachte Entführungsversuch nicht Ausdruck der allgemeinen schwierigen Sicherheitssituation wäre. Entgegen der Auffassung in der Beschwerde ist nicht davon auszugehen, dass sie wegen der Dienstverweigerung ihres Ehemannes beziehungsweise ihres Vaters bei einer Rückkehr Reflexverfolgung ausgesetzt wären, zumal bereits der Beschwerdeführer, wie vorstehend ausgeführt, die Flüchtlingseigenschaft nicht erfüllt.</w:t>
      </w:r>
    </w:p>
    <w:p>
      <w:r>
        <w:rPr>
          <w:b/>
        </w:rPr>
        <w:t>E. 9</w:t>
      </w:r>
    </w:p>
    <w:p>
      <w:r>
        <w:t>Zusammenfassend ist somit festzuhalten, dass das SEM zu Recht die Flüchtlingseigenschaft der Beschwerdeführerenden verneint und die Asylgesuche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(vgl. BVGE 2013/37 E 4.4; 2009/50 E. 9, je m.w.H.).</w:t>
      </w:r>
    </w:p>
    <w:p>
      <w:r>
        <w:rPr>
          <w:b/>
        </w:rPr>
        <w:t>E. 10.3</w:t>
      </w:r>
    </w:p>
    <w:p>
      <w:r>
        <w:t>Mit der angefochtenen Verfügung wurden die Beschwerdeführenden allesamt vorläufig in der Schweiz aufgenommen. Da die Wegweisungsvollzugshindernisse alternativer Natur sind (vgl. BVGE 2009/51), besteht kein schutzwürdiges Interesse an der Überprüfung, aus welchen Gründen die Vorinstanz den Vollzug aufgeschoben hat (Art. 48 Abs. 1 Bst. c VwVG).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sind die Kosten von Fr. 750.- (Art. 1-3 des Reglements vom 21. Februar 2008 über die Kosten und Entschädigungen vor dem Bundesverwaltungsgericht [VGKE, SR 173.320.2]) den Beschwerdeführenden aufzuerlegen (Art. 63 Abs. 1 VwVG), welche durch den geleisteten Kostenvorschuss in gleicher Höhe gedeckt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