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E-4620/2006 vom 26. Oktober 2009</w:t>
      </w:r>
    </w:p>
    <w:p>
      <w:r>
        <w:t>Bundesverwaltungsgericht, 2009-10-26, DE</w:t>
      </w:r>
    </w:p>
    <w:p>
      <w:r>
        <w:rPr>
          <w:b/>
        </w:rPr>
        <w:t xml:space="preserve">Quelle: </w:t>
      </w:r>
      <w:r>
        <w:t>https://mcp.opencaselaw.ch/entscheid/bvger_E-4620_2006</w:t>
      </w:r>
    </w:p>
    <w:p>
      <w:r>
        <w:t>FR: TAF E-4620/2006 du 26 octobre 2009</w:t>
      </w:r>
    </w:p>
    <w:p>
      <w:r>
        <w:t>IT: TAF E-4620/2006 del 26 ottobre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Demnach enthält sich die Beschwerdeinstanz - sofern sie den Nichteintretensentscheid als unrechtmässig erachtet - einer selbständigen materiellen Prüfung, hebt die angefochtene Verfügung auf und weist die Sache zu neuer Entscheidfindung an die Vorinstanz zurück (vgl. Entscheidungen und Mitteilungen der ARK [EMARK] 2004 Nr. 34 E 2.1). Somit ist auf das Gesuch um Zuerkennung der Flüchtlingseigenschaft respektive Gewährung des Asyls nicht einzutreten. Die Vorinstanz hat indessen die Frage der Wegweisung und des Vollzuges materiell geprüft, weshalb dem Bundesverwaltungsgericht diesbezüglich volle Kognition zukommt.</w:t>
      </w:r>
    </w:p>
    <w:p>
      <w:r>
        <w:rPr>
          <w:b/>
        </w:rPr>
        <w:t>E. 4</w:t>
      </w:r>
    </w:p>
    <w:p>
      <w:r>
        <w:t>Vorab sind die formellen Anträge auf Nichtbeachtung eines Teils der Vorbringen und Überweisung der Sache als neues Asylgesuch ans BFM zu behandeln.</w:t>
      </w:r>
    </w:p>
    <w:p>
      <w:r>
        <w:rPr>
          <w:b/>
        </w:rPr>
        <w:t>E. 4.1</w:t>
      </w:r>
    </w:p>
    <w:p>
      <w:r>
        <w:t>Der Antrag der Beschwerdeführenden, es sei auf sämtliche Aussagen der Beschwerdeführerin, die diese vor dem Datum des 16. Juni 2006 gemacht habe, im vorliegenden Verfahren nicht abzustellen, ist abzuweisen. Ein solches Vorgehen würde dem Sinn und Zweck eines ordentlichen Asylverfahrens, in umfassender Weise den möglicherweise entscheidrelevanten Sachverhalt zu ermitteln, zuwiderlaufen. Auch im Hinblick auf die Beurteilung der Glaubwürdigkeit der Beschwerdeführerin sind diese früheren Aussagen grundsätzlich von Bedeutung.</w:t>
      </w:r>
    </w:p>
    <w:p>
      <w:r>
        <w:rPr>
          <w:b/>
        </w:rPr>
        <w:t>E. 4.2</w:t>
      </w:r>
    </w:p>
    <w:p>
      <w:r>
        <w:t>Ebenfalls abzuweisen ist das Gesuch, die Parteieneingaben ab dem 16. Juni 2006 dem BFM als neues Asylgesuch zu überweisen. Vorab steht eine ordentlich eingereichte Beschwerde zur Behandlung an. In diesem Verfahren geht es unter anderem gerade um die Frage, ob das BFM das Asylgesuch materiell zu prüfen hat. Das Anhängigmachen zweier Verfahren in derselben Angelegenheit ist nicht möglich.</w:t>
      </w:r>
    </w:p>
    <w:p>
      <w:r>
        <w:rPr>
          <w:b/>
        </w:rPr>
        <w:t>E. 5.1</w:t>
      </w:r>
    </w:p>
    <w:p>
      <w:r>
        <w:t>Das BFM stützt seine Nichteintretensverfügung auf Art. 32 Abs. 2 Bst. b AsylG. Nach dieser Bestimmung wird auf Asylgesuche nicht eingetreten, wenn Asylsuchende die Behörden über ihre Identität täuschen und diese Täuschung aufgrund der Ergebnisse der erkennungsdienstlichen Behandlung oder anderer Beweismittel feststeht. Als Identität im asylrechtlichen Sinn gelten gemäss Wortlaut der einschlägigen Bestimmung in der Ausführungsverordnung: Namen, Vornamen, Staatsangehörigkeiten, Ethnie, Geburtsdatum, Geburtsort und Geschlecht (Art. 1 Bst. a Asylverordnung 1 vom 11. Juni 1999 [AsylV 1, SR 142.311]).</w:t>
      </w:r>
    </w:p>
    <w:p>
      <w:r>
        <w:rPr>
          <w:b/>
        </w:rPr>
        <w:t>E. 5.2</w:t>
      </w:r>
    </w:p>
    <w:p>
      <w:r>
        <w:t>In Bezug auf die Angaben und Aussagen der Beschwerdeführerin und die Stellungnahmen des BFM wird auf den Sachverhalt verwiesen. Die Beschwerdeführerin hat seit ihrer Einreise bis zur Einreichung der Stellungnahme vom 16. Juni 2006 unbestrittenermassen diverse Falschangaben gemacht. Erst als ihr Resultate aus Botschaftsabklärungen vorgelegt worden sind, hat sie sich zur Richtigstellung ihrer Angaben entschlossen. Die Angst, "mit der Angabe ihrer wahren Gründe kein Asyl zu erhalten" (vgl. Eingabe vom 16. Juni 2006, act. 26 S. 5), kann ebensowenig als Rechtfertigungsgrund für ihr Fehlverhalten dienen wie der angebliche Druck, unter welchem sie von seiten der Familie des verstorbenen Mannes und von N_______ stand (vgl. Eingabe vom 3. März 2008, act. 38 S. 1). Im Rahmen der Überprüfung der Voraussetzungen für einen Nichteintretensentscheid sind lediglich ihre Falschangaben zur Identität massgebend. Sie hat ab ihrer ersten Befragung im Empfangszentrum Kreuzlingen angegeben, keine Staatsangehörigkeit zu besitzen, obwohl sie - wie sie nach Vorhalt der Botschaftsabklärungen zugab - durch Heirat libanesische Staatsangehörige wurde. Ohne Nachprüfung im Libanon wären ihre Falschangaben geeignet gewesen, die Asylbehörden zu täuschen. Mithin waren die Voraussetzungen für ein Nichteintreten auf das Asylgesuch in Anwendung von Art. 32 Abs. 2 Bst. b AsylG und in Verbindung mit Art. 1 Bst. a AsylV 1 (Identitätsmerkmal der Staatsangehörigkeit) gegeben. Daran ändert nichts, dass die der Beschwerdeführerin vom BFM abgesprochene palästinensische Herkunft bewiesen worden ist und sie keine weiteren Falschangaben zu ihrer Identität und derjenigen der Kinder - zu den Transkriptionen der Namen vgl. Sachverhalt sub P - gemacht hat. Das BFM ist demnach im Ergebnis zu Recht auf die Asylgesuche der Beschwerdeführenden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2008/34 E. 11.1 mit weiteren Hinweisen).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(vgl. die noch zu Art. 14a Abs. 4 ANAG erfolgte und weiterhin zutreffende Rechtsprechung der ARK in EMARK 2005 Nr. 6; zur Publikation bestimmtes Urteil vom 9. Juli 2009, D-3357/2006, E. 9.3.2). In Bezug auf das Kindeswohl können namentlich folgende Kriterien im Rahmen einer gesamtheitlichen Beurteilung von Bedeutung sein: Alter des Kindes, Reife, Abhängigkeiten, Art (Nähe, Intensität, Tragfähigkeit) der Beziehungen, Eigenschaften der Bezugspersonen (insbesondere Unterstützungsbereitschaft und -fähigkeit), Stand und Prognose bezüglich Entwicklung/Ausbildung, Grad der erfolgten Integration bei einem längeren Aufenthalt in der Schweiz usw.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EMARK 1998 Nr. 31; Urteil D-3357/2006, a.a.O.).</w:t>
      </w:r>
    </w:p>
    <w:p>
      <w:r>
        <w:rPr>
          <w:b/>
        </w:rPr>
        <w:t>E. 7.2.1</w:t>
      </w:r>
    </w:p>
    <w:p>
      <w:r>
        <w:t>Die Beschwerdeführenden sind im Dezember 2004 in die Schweiz eingereist. Die Familie hält sich demnach seit bald fünf Jahren hier auf. Im Zeitpunkt der Einreise waren die Kinder (...)jährig. Alle vier haben haben in der Schweiz die Schulen besucht. Die beiden Älteren haben die obligatorische Schulzeit hinter sich; gemäss Darstellung der Rechtsvertreterin in ihrem Schreiben vom 19. Juni 2009 (act. 47 S. 2) ist B._______ auf der Suche nach einer Lehrstelle und C._______ befindet sich in einem Werkjahr. Die beiden Jüngsten sind in der Schweiz eingeschult worden; sie sollen inzwischen die (...) Primarklasse besuchen. Sie alle sind in erheblichem Mass durch das hiesige kulturelle und soziale Umfeld geprägt worden. Es ist davon auszugehen, dass sie in den vergangenen Jahren ihr eigenes Beziehungsnetz aufgebaut haben, während dasjenige, das sie im Libanon hatten, zerrissen sein dürfte. Die beiden jüngeren Kinder werden kaum (mehr) über viel Kenntnis der arabischen Sprache und Schrift verfügen, was für eine erfolgreiche Eingliederung ins Schulsystem im Libanon Voraussetzung wäre. Ihre Reintegration im Libanon wäre mit Sicherheit problembehaftet. Namentlich für die beiden Jüngeren besteht somit die konkrete Gefahr, dass die mit einem Vollzug der Wegweisung verbundene Entwurzelung aus dem gewachsenen sozialen Umfeld in der Schweiz einerseits und die sich gleichzeitig abzeichnende Problematik einer Reintegration in die ihnen weitgehend immer fremder werdende Kultur zu starken Belastungen in ihrer Entwicklung führen würden, die mit dem Schutzanliegen des Kindeswohls - jedenfalls nach heutiger Sicht und Kenntnis der Aktenlage - kaum zu vereinbaren wären. Die beiden älteren Kinder stehen am Anfang des Berufsleben. Ein Wechsel des ganzen Umfeldes und das Wiedereintauchen in eine fremd gewordene Kultur dürfte in diesem Alter zu Assimilationsschwierigkeiten und Entwicklungsstörungen führen.</w:t>
      </w:r>
    </w:p>
    <w:p>
      <w:r>
        <w:rPr>
          <w:b/>
        </w:rPr>
        <w:t>E. 7.2.2</w:t>
      </w:r>
    </w:p>
    <w:p>
      <w:r>
        <w:t>Von entscheidender Bedeutung ist aber über diese zu erwartenden Schwierigkeiten der Kinder hinaus die glaubhaft gemachte familiäre Zwangssituation. Als glaubhaft ist die Darstellung der Beschwerdeführerin zu erachten, wonach einerseits ihr Schwager ihr die Kinder wegnehmen wolle oder ihr die Alternative zum Einziehen in seiner Familie gemeinsam mit ihren Kindern angeboten habe, und anderseits (...) N._______ sie unbedingt heiraten wolle und sie deswegen dauernd - (...) - unter Druck setze (vgl. Sachverhalt sub Bst. O, R und T). Einmal zurück im Libanon würde die Beschwerdeführerin dem Druck beziehungsweise der Gewalt seitens der Familie ihres verstorbenen Ehemannes kaum standhalten können. Gegen ihren erklärten Willen bei der Familie ihres Schwagers einzuziehen oder ihre Kinder an ihn "abzutreten", ist weder für die Beschwerdeführerin noch für die vier (...) eine zumutbare Option. Die Beschwerdeführerin müsste angesichts der von der Schweizer Botschaft bestätigten Rechtslage damit rechnen, dass sie - wenn die Familienangehörigen des Verstorbenen väterlicherseits ihr Recht mit Unterstützung der zuständigen Gerichtsbehörden durchsetzen - die elterliche Gewalt und das Sorgerecht verliert. Ob sich die Beschwerdeführerin in einem solchen Fall, sei es den Kindern zuliebe oder um sich vor den nachgewiesenen Nachstellungen durch (...) N._______ zu schützen, in den Machtbereich des Schwagers und neuen Sorgerechtsinhabers begeben würde, einer Person, der sie bereits schon bedrängt und bedroht haben soll, kann offen bleiben. Es ist jedenfalls davon auszugehen, dass sowohl die beiden noch schulpflichtigen Kinder, als auch die dem Erwachsenenalter entgegengehenden älteren [Kinder] in ihrer Entwicklung erheblich gestört würden. Ferner ist keineswegs auszuschliessen, dass (...) N._______ seine auf eine Heirat ausgerichteten Avancen und seinen Druck auf die Beschwerdeführerin mit Billigung der Verwandschaft ihres verstorbenen Ehemannes macht: Durch die Heirat der verwitweten Schwägerin würden die männlichen Rechtsnachfolger des verstorbenen Ehemannes ihrer traditionellen und rechtlichen Verantwortung für die Kinder der Beschwerdeführerin enthoben. Angesichts der Energie und Ausdauer von N._______, (...) (vgl. Sachverhalt sub F.e, G, J), und des Drucks, den er auf die Beschwerdeführerin mit (...) aufrecht erhält - an der Urheberschaft von N._______ ist angesichts des eng (...) verbundenen Inhalts und des Umstandes, dass (...) der Schriftstücke den handschriftlichen Vermerk "(...)" tragen (sub act. 19), nicht zu zweifeln -, kann abgeschätzt werden, wie schwierig oder unmöglich es für sie sein würde, sich im Libanon seinem Druck und den geltenden gesellschaftlichen und letztlich auch ökonomischen Zwängen zu widersetzen und zu entziehen.</w:t>
      </w:r>
    </w:p>
    <w:p>
      <w:r>
        <w:rPr>
          <w:b/>
        </w:rPr>
        <w:t>E. 7.2.3</w:t>
      </w:r>
    </w:p>
    <w:p>
      <w:r>
        <w:t>Eine Rückkehr in den Libanon hätte für alle fünf Familienmitglieder mit hoher Wahrscheinlichkeit zur Folge, dass sie erneut entwurzelt und aus ihren heute geregelten Bahnen geworfen würden, dass sie in unerwünschte Beziehungen und familiäre Verhältnisse hineingezwungen würden und dass die Beziehung zwischen der Mutter und den Kindern erheblich gestört, wenn nicht gar unterbunden würde. Im Ergebnis ist festzustellen, dass für die ganze Familie der Vollzug der Wegweisung in den Libanon als unzumutbar zu beurteilen ist.</w:t>
      </w:r>
    </w:p>
    <w:p>
      <w:r>
        <w:rPr>
          <w:b/>
        </w:rPr>
        <w:t>E. 7.2.4</w:t>
      </w:r>
    </w:p>
    <w:p>
      <w:r>
        <w:t>Einer vorläufigen Aufnahme zufolge unzumutbaren Wegweisungsvollzugs steht gemäss Art. 83 Abs. 7 AuG unter anderen entgegen, wenn die weggewiesenen Personen erheblich oder wiederholt gegen die öffentliche Sicherheit und Ordnung in der Schweiz oder im Ausland verstossen haben oder diese gefährden oder die innere oder die äussere Sicherheit der Schweiz gefährden. Betreffend B._______, C._______ und D._______ liegen Akten von Strafuntersuchungsbehörden vor. Während es bei B._______ um einen geringfügigen Diebstahl ging und das Verfahren zufolge Rückzugs des Strafantrags eingestellt wurde, und D._______ wegen eines geringfügigen Verstosses gegen das Strassenverkehrsgesetz mit einem Verweis bestraft wurde, hat sich C._______ im (...) 2006 der Nötigung und im (...) 2008 der unberechtigten Verwendung eines Fahrrades schuldig gemacht und ist mit einem Verweis beziehungsweise einer persönlichen Arbeitsleistung von einem Tag bestraft worden; ein weiteres Strafverfahren wurde zufolge Verzichts auf Strafantrag im (...) 2007 eingestellt. Die Beschwerdeführerin selber hat sich ein halbes Jahr nach der Einreise in der Schweiz eines geringfügigen Vermögensdelikts - Diebstahl von Kosmetikartikeln am (...) 2005 - schuldig gemacht. Alle diese Verfehlungen erreichen allerdings die Anforderungen an den Ausschlusstatbestand von Art. 83 Abs. 7 AuG deutlich nicht, da sie weder als erheblich noch als wiederholt einzustufen sind.</w:t>
      </w:r>
    </w:p>
    <w:p>
      <w:r>
        <w:rPr>
          <w:b/>
        </w:rPr>
        <w:t>E. 7.2.5</w:t>
      </w:r>
    </w:p>
    <w:p>
      <w:r>
        <w:t>Damit steht der Regel von Art. 83 Abs. 1 AuG nichts entgegen; die Beschwerdeführenden sind zufolge Unmutbarkeit des Wegweisungsvollzugs vorläufig aufzunehmen.</w:t>
      </w:r>
    </w:p>
    <w:p>
      <w:r>
        <w:rPr>
          <w:b/>
        </w:rPr>
        <w:t>E. 7.3</w:t>
      </w:r>
    </w:p>
    <w:p>
      <w:r>
        <w:t>Die drei Bedingungen für einen Verzicht auf den Vollzug der Wegweisung (Unzulässigkeit, Unzumutbarkeit, Unmöglichkeit) sind alternativer Natur: Ist eine von ihnen erfüllt, brauchen die beiden andern nicht mehr geprüft zu werden. Der Vollzug der Wegweisung ist diesfalls undurchführbar, und die weitere Anwesenheit in der Schweiz ist gemäss den Bestimmungen über die vorläufige Aufnahme zu regeln; gegen deren allfällige Aufhebung durch die Vorinstanz steht den (ab- und weggewiesenen) Asylsuchenden wiederum die Beschwerde an das Bundesverwaltungsgericht offen (vgl. Art. 105 AsylG i.V.m. Art. 44 Abs. 2 AsylG), wobei in jenem Verfahren sämtliche Vollzugshindernisse von Amtes wegen nach Massgabe der dannzumal herrschenden Verhältnisse von neuem zu prüfen wären (vgl. die weiterhin zutreffende Praxis der ARK in EMARK 2006 Nr. 6 E. 4.2 und EMARK 1997 Nr. 27).</w:t>
      </w:r>
    </w:p>
    <w:p>
      <w:r>
        <w:rPr>
          <w:b/>
        </w:rPr>
        <w:t>E. 8</w:t>
      </w:r>
    </w:p>
    <w:p>
      <w:r>
        <w:t>Zusammenfassend ist festzustellen, dass das Bundesamt zu Recht auf das Asylgesuch der Beschwerdeführenden nicht eingetreten ist und die Wegweisung in den Libanon verfügt hat. Demgegenüber erweist sich der angeordnete Vollzug der Wegweisung als nicht zumutbar. Die Verfügung der Vorinstanz vom 16. März 2005 ist daher betreffend die Ziffern 3 und 4 des Dispositivs aufzuheben und das BFM anzuweisen, die Beschwerdeführerin und ihre vier unmündigen Kinder vorläufig aufzunehmen.</w:t>
      </w:r>
    </w:p>
    <w:p>
      <w:r>
        <w:rPr>
          <w:b/>
        </w:rPr>
        <w:t>E. 9.1</w:t>
      </w:r>
    </w:p>
    <w:p>
      <w:r>
        <w:t>Die Beschwerdeführenden beantragen Gewährung der unentgeltlichen Prozessführung. Eine Partei, die nicht über die erforderlichen Mittel verfügt, wird auf Antrag hin von der Bezahlung der Verfahrenskosten befreit, sofern ihr Begehren nicht aussichtslos erscheint (Art. 65 Abs. 1 VwVG). Den Akten lässt sich entnehmen, dass die Beschwerdeführerin einen Bruttolohn von rund Fr. 6'000.- pro Monat erzielt. Nach Abzug des Mietzinses von Fr. 1'510.- und der Fixabzüge verbleiben ihr somit mehr als Fr. 3'100.-. Damit ist sie nicht als prozessual bedürftig zu erachten. Das Gesuch um Gewährung der unentgeltlichen Rechtspflege gemäss Art. 65 Abs. 1 VwVG ist damit abzuweisen.</w:t>
      </w:r>
    </w:p>
    <w:p>
      <w:r>
        <w:rPr>
          <w:b/>
        </w:rPr>
        <w:t>E. 9.2</w:t>
      </w:r>
    </w:p>
    <w:p>
      <w:r>
        <w:t>Das Unterliegen im Eintretenspunkt und bezüglich Wegweisung und das Obsiegen im Wegweisungsvollzugspunkt ist als hälftiges Obsiegen zu gewichten. Entsprechend ist den Beschwerdeführenden die Hälfte der Gerichtsgebühr, mithin Fr. 300.-, aufzuerlegen (Art. 63 Abs. 1 VwVG). Von den durch die Botschaftsabklärungen entstandenen Kosten haben sie einen Anteil von Fr. 1'000.- zu tragen (vgl. Art. 6 des Reglements über die Verwaltungsgebühren des Bundesverwaltungsgerichts vom 21. Februar 2008 [Gebr-BVGer, SR 173.320.3]), da es dem jahrelangen Festhalten an Falschaussagen seitens der Beschwerdeführerin zuzuschreiben ist, dass das Gericht ausführliche Abklärungen im Libanon und in der Schweiz veranlasst hat. Von den durch diese Abklärungen entstandenen Kosten ist ihr ein Anteil von Fr. 1'000.- aufzuerlegen (vgl. Art. 6 des Reglements über die Verwaltungsgebühren des Bundesverwaltungsgerichts vom 21. Februar 2008 (Gebr-BVGer, SR 173.320.3). Die Kosten des Beschwerdefahrens sind mithin im Umfang von Fr. 1'300.- den Beschwerdeführenden aufzuerlegen (Art. 1 ff. des Reglements vom 21. Februar 2008 über die Kosten und Entschädigungen vor dem Bundesverwaltungsgericht [VGKE, SR 173.320.2]).</w:t>
      </w:r>
    </w:p>
    <w:p>
      <w:r>
        <w:rPr>
          <w:b/>
        </w:rPr>
        <w:t>E. 9.3</w:t>
      </w:r>
    </w:p>
    <w:p>
      <w:r>
        <w:t>Eine obsiegende Partei hat Anspruch auf eine Entschädigung für die ihr erwachsenen notwendigen Kosten; obsiegt sie nur teilweise, so ist die Parteientschädigung entsprechend zu kürzen (Art. 64 Abs. 1 VwVG, Art. 7 Abs. 1 und 2 VGKE i.V.m. Art. 16 Abs. 1 Bst. a VGG). Die Rechtsvertreterin hat keine Kostennote eingereicht. Auf die Nachreichung einer solchen kann verzichtet werden. Da die Beschwerde nur teilweise gutzuheissen ist und im Wesentlichen erst die Abklärungen des BFM, der ARK und des Bundesverwaltungsgerichts im Libanon zur Klärung des Sachverhaltes und zur Teilgutheissung geführt haben, ist die Parteientschädigung von Amtes wegen pauschal auf Fr. 500.- festzusetzen (inkl. Auslagen und Mehrwertsteueranteil). Das BFM ist anzuweisen,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