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E-4619/2013 vom 28. April 2015</w:t>
      </w:r>
    </w:p>
    <w:p>
      <w:r>
        <w:t>Bundesverwaltungsgericht, 2015-04-28, DE</w:t>
      </w:r>
    </w:p>
    <w:p>
      <w:r>
        <w:rPr>
          <w:b/>
        </w:rPr>
        <w:t xml:space="preserve">Quelle: </w:t>
      </w:r>
      <w:r>
        <w:t>https://mcp.opencaselaw.ch/entscheid/bvger_E-4619_2013</w:t>
      </w:r>
    </w:p>
    <w:p>
      <w:r>
        <w:t>FR: TAF E-4619/2013 du 28 avril 2015</w:t>
      </w:r>
    </w:p>
    <w:p>
      <w:r>
        <w:t>IT: TAF E-4619/2013 del 28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Beschwerdeschrift wird vorab in formeller Hinsicht die Verletzung der Begründungspflicht und die unvollständige und unrichtige Feststellung des Sachverhalts gerügt.</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sie, wenn nicht über alle rechtswesentlichen Sachumstände Beweis erhoben wurde. Dies ist häufig dann der Fall, wenn die Vorinstanz gleichzeitig den Anspruch auf rechtliches Gehör verletzte (vgl. Alfred Kölz/Isabelle Häner/Martin Berschi, Verwaltungsverfahren und Verwaltungsrechtspflege des Bundes, 3. Aufl., 2013, Rz. 1043).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E-3747/2014 vom 3. September 2014 E. 4.2).</w:t>
      </w:r>
    </w:p>
    <w:p>
      <w:r>
        <w:rPr>
          <w:b/>
        </w:rPr>
        <w:t>E. 4.2</w:t>
      </w:r>
    </w:p>
    <w:p>
      <w:r>
        <w:t>Der in Art. 29 Abs. 2 BV garantierte und in den Art. 26 - 33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5.1</w:t>
      </w:r>
    </w:p>
    <w:p>
      <w:r>
        <w:t>Vorliegend ist festzustellen, dass die Vorinstanz ihre Verfügung mit der fehlenden Asylrelevanz der vorgebrachten Verfolgung des Beschwerdeführers abgelehnt hat. Dabei verwies sie einerseits auf die Botschaftsabklärung vom 4. Juni 2013, welche ergeben habe, dass über den Beschwerdeführer weder ein Datenblatt noch ein Ermittlungs- oder Gerichtsverfahren und auch kein Haftbefehl bestehe. In der Folge hielt sie jedoch fest, eine asylrelevante Verfolgung liege nicht vor, wenn staatliche Massnahmen rechtsstaatlich legitimen Zwecken dienen würden. Die strafrechtliche Verfolgung zur Abklärung eines Falles wegen Unterstützung einer terroristischen Organisation sei legitim. Weiter unten führte sie aus, der Beschwerdeführer werde im Rahmen des Strafverfahrens die Gelegenheit erhalten, zu den Vorwürfen Stellung zu nehmen (vgl. a.a.O. E. 2).</w:t>
      </w:r>
    </w:p>
    <w:p>
      <w:r>
        <w:rPr>
          <w:b/>
        </w:rPr>
        <w:t>E. 5.2</w:t>
      </w:r>
    </w:p>
    <w:p>
      <w:r>
        <w:t>Wie in der Beschwerdeschrift zu Recht ausgeführt worden ist, lag beim Redigieren der Verfügung offensichtlich eine andere Verfügung als Vorlage vor, wobei wesentliche Teile übernommen worden sind, welche keinen Bezug zur Situation des Beschwerdeführers haben. Auch kann den Anhörungsprotokollen nicht entnommen werden, der Beschwerdeführer sei von falschen Anschuldigungen gegen ihn ausgegangen (vgl. Akten A9 S. 4 ff., A34). Des Weiteren weist bereits der Sachverhalt mehrere falsche Angaben auf. So wurde in E. 5 aufgeführt, der Beschwerdeführer habe - im vorausgehenden Verfahren - am 17. August 2011 eine Beschwerde erhoben, welche vom Bundesverwaltungsgericht mit Urteil vom 3. Oktober 2011 gutgeheissen worden und die angefochtene Verfügung vom 9. August 2011 aufgehoben worden. Indessen datiert jene Beschwerde vom 8. Oktober 2008, die aufgehobene Verfügung vom 1. Oktober 2008 und das Urteil des BVGer vom 30. April 2010.</w:t>
      </w:r>
    </w:p>
    <w:p>
      <w:r>
        <w:rPr>
          <w:b/>
        </w:rPr>
        <w:t>E. 5.3</w:t>
      </w:r>
    </w:p>
    <w:p>
      <w:r>
        <w:t>Schliesslich fehlen im Sachverhalt Angaben zur Heirat des Beschwerdeführers. So hat dieser am (...) 2008 eine Landsfrau geheiratet, welche im Besitz einer Aufenthaltsbewilligung B ist. Die Vor-instanz hat diesen Umstand, der aktenkundig ist, in ihren Erwägungen nicht gewürdigt und sich damit zu einem allfälligen, daraus fliessenden Anspruch des Beschwerdeführers nicht geäussert. Die Vorinstanz wurde mit verfahrensleitender Verfügung vom 10. September 2014 auf die Heirat des Beschwerdeführers mit einer türkischen Staatsangehörigen, welche über eine Aufenthaltsbewilligung verfügt, sowie die in der Beilage 2 der Beschwerdeschrift markierten Stellen hingewiesen und zu einer Stellungnahme eingeladen. Indessen hat sie mit Schreiben vom 22. September 2014 ausdrücklich auf die Einreichung einer Vernehmlassung verzichtet.</w:t>
      </w:r>
    </w:p>
    <w:p>
      <w:r>
        <w:rPr>
          <w:b/>
        </w:rPr>
        <w:t>E. 5.4</w:t>
      </w:r>
    </w:p>
    <w:p>
      <w:r>
        <w:t>Damit steht fest, dass sich die Vorinstanz in der angefochtenen Verfügung nicht mit allen wesentlichen Vorbringen des Beschwerdeführers befasst und damit ihre Begründungspflicht und den Anspruch auf rechtliches Gehör verletzt hat, wenngleich nicht in einer Weise, welche die sachgerechte Anfechtung verunmöglicht hätte. Zudem hat sie den Sachverhalt unrichtig festgestellt und muss sich ausserdem eine unsorgfältige Verfahrensführung vorwerfen lassen.</w:t>
      </w:r>
    </w:p>
    <w:p>
      <w:r>
        <w:rPr>
          <w:b/>
        </w:rPr>
        <w:t>E. 5.5</w:t>
      </w:r>
    </w:p>
    <w:p>
      <w:r>
        <w:t>Angesichts dieser Sachlage stellt sich die Frage, ob die festgestellte Verletzung des rechtlichen Gehörs und die unvollständige Feststellung des Sachverhaltes geheilt werden können oder zur Kassation der angefochtenen Verfügung führen müssen. Grundsätzlich führt eine Verletzung des rechtlichen Gehörs aufgrund der formellen Natur dieses Anspruches ungeachtet der materiellen Auswirkungen zur Aufhebung des betreffenden Entscheides (vgl. BVGE 2008/47 E. 3.3.4 m.w.H.). Das Bundesverwaltungsgericht ging in seiner bisherigen Praxis davon aus, dass Gehörsverletzungen und unvollständige Sachverhaltsfeststellungen aufgrund der umfassenden Kognition der Beschwerdeinstanz in bestimmten Schranken geheilt werden können. Dies gilt unter der Geltung des revidierten Art. 106 AsylG (Wegfall der Überprüfbarkeit der Angemessenheit; vgl. alt Art. 106 Abs. 1 Bst. c AsylG) grundsätzlich weiterhin, wobei Gehörsverletzungen, die sich auf einen Aspekt der Angemessenheit beziehen, vom Bundesverwaltungsgericht fortan nicht mehr geheilt werden können. Eine Gehörsverletzung kann dann geheilt werden, wenn das Versäumte nachgeholt wird, der Beschwerdeführer dazu Stellung nehmen kann und der Beschwerdeinstanz im streitigen Fall die freie Überprüfungsbefugnis in Bezug auf Tatbestand sowie Rechtsanwendung zukommt, die festgestellte Verletzung nicht schwerwiegender Natur ist und die fehlende Entscheidreife durch die Beschwerdeinstanz mit vertretbarem Aufwand hergestellt werden kann (vgl. Christoph auer, a.a.O., E. 3.4.4 m.w.H.). Vorliegend sieht sich das Bundesverwaltungsgericht nicht veranlasst, eine Heilung der Gehörsverletzung vorzunehmen respektive den Sachverhalt an Stelle der Vorinstanz vollständig festzustellen, zumal dem Beschwerdeführer diesfalls eine Instanz verloren ginge. Im Übrigen ist die vorliegende Gehörsverletzung als erheblich zu bezeichnen, weshalb eine Heilung nicht angebracht ist.</w:t>
      </w:r>
    </w:p>
    <w:p>
      <w:r>
        <w:rPr>
          <w:b/>
        </w:rPr>
        <w:t>E. 5.6</w:t>
      </w:r>
    </w:p>
    <w:p>
      <w:r>
        <w:t>Nach dem Gesagten ist die Beschwerde im Sinne der Erwägungen gutzuheissen. Die angefochtene Verfügung ist aufzuheben, die Sache zur vollständigen Sachverhaltsfeststellung sowie zu neuer Entscheidung an die Vorinstanz zurückzuweisen. Die vorinstanzlichen Akten sowie das Beschwerdedossier, welches ebenfalls Prozessstoff des vorinstanzlichen Verfahrens bilden wird, werden dem SEM zugestellt. Auf die weiteren Vorbringen in der Rechtsmit­telein­gabe ist aufgrund der vorliegenden Kassation zum heutigen Zeit­punkt nicht näher einzugehen.</w:t>
      </w:r>
    </w:p>
    <w:p>
      <w:r>
        <w:rPr>
          <w:b/>
        </w:rPr>
        <w:t>E. 6.1</w:t>
      </w:r>
    </w:p>
    <w:p>
      <w:r>
        <w:t>Bei diesem Ausgang des Verfahrens sind keine Kosten zu erheben (Art. 63 Abs. 1 und 2 VwVG). Der am 13. September 2013 geleistete Kostenvorschuss ist zurückzuerstatten.</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(vgl. Art. 14 VGKE). Nachdem keine Kostennote zu den Akten eingereicht worden ist und sich der notwendige Vertretungsaufwand aufgrund der Aktenlage hinreichend zuverlässig abschätzen lässt, ist die von der Vorinstanz auszurichtende Parteientschädigung unter Berücksichtigung der massgebenden Berechnungsfaktoren von Amtes wegen auf Fr. 2'400.- (inkl. Auslagen und Mehrwertsteuerzusatz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