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E-4614/2011 vom 19. September 2011</w:t>
      </w:r>
    </w:p>
    <w:p>
      <w:r>
        <w:t>Bundesverwaltungsgericht, 2011-09-19, DE</w:t>
      </w:r>
    </w:p>
    <w:p>
      <w:r>
        <w:rPr>
          <w:b/>
        </w:rPr>
        <w:t xml:space="preserve">Quelle: </w:t>
      </w:r>
      <w:r>
        <w:t>https://mcp.opencaselaw.ch/entscheid/bvger_E-4614_2011</w:t>
      </w:r>
    </w:p>
    <w:p>
      <w:r>
        <w:t>FR: TAF E-4614/2011 du 19 septembre 2011</w:t>
      </w:r>
    </w:p>
    <w:p>
      <w:r>
        <w:t>IT: TAF E-4614/2011 del 19 settembre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angefochtenen Verfügung beantragt wird.</w:t>
      </w:r>
    </w:p>
    <w:p>
      <w:r>
        <w:rPr>
          <w:b/>
        </w:rPr>
        <w:t>E. 2</w:t>
      </w:r>
    </w:p>
    <w:p>
      <w:r>
        <w:t>Die Verfügung des BFM vom 8. Juli 2011 wird aufgehoben. Die Vorinstanz wird angewiesen, den rechtserheblichen Sachverhalt vollständig festzustellen und in der Sache unverzüglich neu zu entscheiden.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die Beschwerdeführerin, das BFM und die Schweizer Botschaft in Colombo. Der vorsitzende 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