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E-4613/2022 vom 1. November 2022</w:t>
      </w:r>
    </w:p>
    <w:p>
      <w:r>
        <w:t>Bundesverwaltungsgericht, 2022-11-01, DE</w:t>
      </w:r>
    </w:p>
    <w:p>
      <w:r>
        <w:rPr>
          <w:b/>
        </w:rPr>
        <w:t xml:space="preserve">Quelle: </w:t>
      </w:r>
      <w:r>
        <w:t>https://mcp.opencaselaw.ch/entscheid/bvger_E-4613_2022</w:t>
      </w:r>
    </w:p>
    <w:p>
      <w:r>
        <w:t>FR: TAF E-4613/2022 du 1 novembre 2022</w:t>
      </w:r>
    </w:p>
    <w:p>
      <w:r>
        <w:t>IT: TAF E-4613/2022 del 1 novembre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t>E-4613/2022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E-4613/2022 Seite 6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Asylentscheids stellte sich die Vor- instanz auf den Standpunkt, die Mitnahme durch die Taliban sei nicht aus einem flüchtlingsrechtlich relevanten Motiv erfolgt. Vielmehr habe es sich den Aussagen des Beschwerdeführers zufolge um eine Art Spiel gehan- delt, das die Taliban mit den Dorfbewohnern getrieben hätten. Der Be- schwerdeführer sei zwei Mal mitgenommen worden und es sei ihm beide Male die Flucht gelungen. Beim ersten Mal hätten sie ihn verprügelt und zurückgebracht. Als sie ihn beim zweiten Mal erwischt hätten, sei er auf dem Weg gewesen, um seinen Vater zur medizinischen Behandlung nach B._______ zu bringen, sie hätten ihn aber weiterreisen lassen. Es könne angesichts dessen nicht davon ausgegangen werden, die meisten jungen Männer in seinem Dorf seien von einer Art Zwangsrekrutierung der Taliban betroffen. Sie seien für einfache Wachdienste eingeteilt worden und An- knüpfungspunkte seien Wohnort, Alter sowie das Geschlecht gewesen. Dabei handle es sich nicht um in Art. 3 Abs. 1 AsylG erwähnte Eigenschaf- ten. Der Unfall mit der Landmine sowie die damit verbundene Schaden- ersatzforderung hätte wohl lediglich als Vorwand und Druckmittel gedient, damit der Vater ihn in die Obhut der Taliban gebe. Zusätzlich bestehende Risikofaktoren, wonach er als Feind und Verräter betrachtet worden wäre oder ihm oppositionelle Gesinnung unterstellt worden wäre, würden sich aus den Akten nicht ergeben. Selbst nach zweimaliger Flucht habe er per- sönlich nämlich keine ernsthaften Nachteile im Sinn von Art. 3 AsylG erfah- ren. Seit der Machtübernahme der Taliban sei die Lage noch nicht vollstän- dig absehbar, es seien bisher aber keine Übergriffe dokumentiert worden auf vormalige Rekrutierungsverweigerer. Insofern wirke sich die Lage- veränderung nicht risikoverschärfend aus. Der Stellungnahme zum Verfü- gungsentwurf sei zu entgegnen, der Hinweis auf Art. 7 AsylG sei tatsäch- lich einem Versehen geschuldet. Die Glaubhaftigkeit der Vorbringen des Beschwerdeführers werde nämlich grundsätzlich nicht bezweifelt. Im Übri- gen handle es sich beim eingereichten Beweismittel nicht um eine Bestäti- gung des Arbeitgebers, sondern um eine Art Drohschreiben des Islami- schen Emirats Afghanistan, der Beschwerdeführer solle seine Tätigkeit be- enden. Seine Tätigkeit als Koch in der Militärgarnison stelle jedenfalls ein sehr niedriges Risikoprofil dar. Die Gefährdung junger Männer seitens der Taliban sei als krimineller Akt im Kontext des Afghanistankonflikts zu wer- ten und sei gerade nicht wegen äusserer oder innerer Merkmale erfolgt,</w:t>
      </w:r>
    </w:p>
    <w:p>
      <w:r>
        <w:t>E-4613/2022 Seite 7 die untrennbar mit der Person oder Persönlichkeit des Opfers verbunden seien. Es scheine den Beschwerdeführer eher zufällig getroffen zu haben und nicht aufgrund seiner allfälligen Zugehörigkeit zu einer sozialen Gruppe. Die Tötung seiner Familie, weil er sich den Forderungen der Tali- ban widersetzt habe, sei als gemeinrechtliches Delikt zu werten und nicht als Verfolgung aus einem der in Art. 3 Abs. 1 AsylG genannten Motive. Ent- gegen der Ausführungen der Rechtsvertretung drohe dem Beschwerdefüh- rer auch keine quasistaatliche Verfolgung der Taliban. Mit der Machtüber- nahme sei der afghanische Staat und die afghanische Armee aufgelöst worden, weshalb das Bestreben der Taliban, den Beitritt junger Männer in die Armee zu verhindern, obsolet geworden sei.</w:t>
      </w:r>
    </w:p>
    <w:p>
      <w:r>
        <w:rPr>
          <w:b/>
        </w:rPr>
        <w:t>E. 5.2</w:t>
      </w:r>
    </w:p>
    <w:p>
      <w:r>
        <w:t>Zur Begründung seiner Beschwerdeanträge liess der Beschwerdefüh- rer ausführen, als junger Mann einer bestimmten Dorfgemeinschaft gehöre er einer sozialen Gruppe im Sinn von Art. 3 AsylG an. Sowohl das Alter als auch das Geschlecht würden unabänderliche Merkmale darstellen. In Urteil E-5072/2018 vom 17. Dezember 2020 sei bei einem durch Zwangs- rekrutierung bedrohten jungen Mann festgestellt worden, dass sein Alter, Geschlecht und Wohnort, insbesondere in Kombination, einschlägige Ver- folgungsmotive darstellen würden. Seit die Taliban die regierende Kraft des Landes geworden seien, würde nicht nur den Frauen, sondern auch den Männern ein gesonderter Platz in der Gesellschaft zugewiesen und diese deshalb zwangsrekrutiert. Als massgebende Faktoren seien einerseits das Dorf zu betrachten, aus welchem er stamme, zumal sich mehrere Dorfbe- wohner auf dem Stützpunkt der Taliban befunden hätten, und andererseits das sehr niedrige Ausbildungsniveau, wie es der Beschwerdeführer auf- weise. Nachdem er nach B._______ gegangen sei, seien die Taliban davon ausgegangen, er habe sich dem Militär angeschlossen, womit er aufgrund eines politischen Motivs verfolgt worden sei. Seine Funktion beim Militär sei dabei irrelevant. Ohnehin liege seiner Verfolgung bereits deshalb ein politisches Motiv zugrunde, weil er sich der Rekrutierung und damit der Ideologie der Taliban verweigert habe. Als Folge sei seine gesamte Familie getötet worden. Nach dem Gesagten habe der Beschwerdeführer auch be- gründete Furcht vor zukünftiger Verfolgung, zumal bei bereits erlittener flüchtlingsrechtlich relevanter Vorverfolgung die Regelvermutung gelte, dass auf das Bestehen einer begründeten Furcht vor zukünftiger Verfol- gung zu schliessen sei. Es sei auch der sachliche sowie zeitliche Kausal- zusammenhang zwischen Vorverfolgung und Ausreise gegeben, womit die genannte Regelvermutung nicht durchbrochen worden sei. Mit der Macht- übernahme erweise sich der afghanische Staat aus offenkundigen Grün- den auch nicht als schutzfähig und es würden keine innerstaatlichen</w:t>
      </w:r>
    </w:p>
    <w:p>
      <w:r>
        <w:t>E-4613/2022 Seite 8 Fluchtmöglichkeiten bestehen. Aufgrund dieser Ausführungen werde er- sichtlich, dass das SEM den Untersuchungsgrundsatz verletzt und den rechtserheblichen Sachverhalt nicht vollständig erstellt habe.</w:t>
      </w:r>
    </w:p>
    <w:p>
      <w:r>
        <w:rPr>
          <w:b/>
        </w:rPr>
        <w:t>E. 6.1</w:t>
      </w:r>
    </w:p>
    <w:p>
      <w:r>
        <w:t>Nach eingehender Prüfung der vorliegenden Verfahrensakten erschei- nen die vorinstanzlichen Erwägungen überzeugend.</w:t>
      </w:r>
    </w:p>
    <w:p>
      <w:r>
        <w:rPr>
          <w:b/>
        </w:rPr>
        <w:t>E. 6.2</w:t>
      </w:r>
    </w:p>
    <w:p>
      <w:r>
        <w:t>Es ist mit dem SEM festzustellen, dass die geltend gemachten Vorbrin- gen des Beschwerdeführers flüchtlingsrechtlich irrelevant sind. Der Be- schwerdeführer machte geltend, nachdem sein Vater bei der Ernte eine Mine der Taliban zur Explosion gebracht habe, hätten die Taliban gedroht, seine Töchter zu entführen oder den Sohn (Beschwerdeführer) für ein Jahr in den Krieg zu führen (vgl. A19 ad F59, F89). Darin kann keine Verfolgung aus einem der in Art. 3 Abs. 1 genannten Gründe ersehen werden. So ver- langten die Taliban stets vom Vater, dass dieser den Beschwerdeführer an der Front kämpfen lasse oder er die Tochter zur Verheiratung freigebe. Demnach stellte das SEM zu Recht fest, dass nicht davon auszugehen sei, der Beschwerdeführer werde als Feind und Verräter betrachtet oder ihm oppositionelle Gesinnung unterstellt (vgl. SEM-Verfügung S. 5). Auch die vorgebrachte Tötung des Vaters und der älteren Schwester des Beschwer- deführers ist folglich nicht deshalb erfolgt, weil sich der Beschwerdeführer nicht der Ideologie der Taliban angeschlossen habe. Insofern vermögen die Ausführungen in der Beschwerde, wonach der Beschwerdeführer wegen seiner Zugehörigkeit zu einer bestimmten sozialen Gruppe (junger Mann aus einer bestimmten Region) asylrelevanter Verfolgung ausgesetzt gewe- sen sei, nicht zu überzeugen.</w:t>
      </w:r>
    </w:p>
    <w:p>
      <w:r>
        <w:rPr>
          <w:b/>
        </w:rPr>
        <w:t>E. 6.3</w:t>
      </w:r>
    </w:p>
    <w:p>
      <w:r>
        <w:t>Für diese Einschätzung spricht einerseits, dass die Taliban den Be- schwerdeführer trotz zweimaliger Flucht anlässlich einer Kontrolle hätten weiterreisen lassen (vgl. A15 ad F30; A19 ad F89) und andererseits, dass der Beschwerdeführer gemäss seiner Aussage anlässlich der Anhörung nach Art. 29 AsylG nach der Tötung seiner Mutter und jüngeren Schwester weitere eineinhalb Jahre in B._______ verblieben sei, ohne weitere Verfol- gungsmassnahmen erlebt zu haben (vgl. A19 ad F93 f.). Unter diesen Um- ständen dürfte praxisgemäss auch der zeitliche Kausalzusammenhang zwischen den erlittenen Nachteilen und der Ausreise aus dem Heimatstaat nicht mehr zu bejahen sein (vgl. etwa BVGE 2009/51 E. 4.2.5 S. 745), womit auch die Regelvermutung durchbrochen wäre, es sei bei bereits er- littener flüchtlingsrechtlich relevanter Vorverfolgung auf das Bestehen zu- künftiger Verfolgung zu schliessen.</w:t>
      </w:r>
    </w:p>
    <w:p>
      <w:r>
        <w:t>E-4613/2022 Seite 9</w:t>
      </w:r>
    </w:p>
    <w:p>
      <w:r>
        <w:rPr>
          <w:b/>
        </w:rPr>
        <w:t>E. 6.4</w:t>
      </w:r>
    </w:p>
    <w:p>
      <w:r>
        <w:t>Insgesamt ist auch das Gericht der Ansicht, dass die Vorbringen des Beschwerdeführers keine asylbeachtliche Verfolgung im Sinn von Art. 3 AsylG darstellen. Um Wiederholungen zu vermeiden, kann auf die über- zeugend begründeten Erwägungen in der vorinstanzlichen Verfügung ver- wiesen werden.</w:t>
      </w:r>
    </w:p>
    <w:p>
      <w:r>
        <w:rPr>
          <w:b/>
        </w:rPr>
        <w:t>E. 6.5</w:t>
      </w:r>
    </w:p>
    <w:p>
      <w:r>
        <w:t>Nach den vorangegangenen Erwägungen kann die Frage der Glaub- haftigkeit letztlich offengelassen werden. Es sei aber dennoch anzumer- ken, dass das Gericht – anders, also offenbar die Vorinstanz – insbeson- dere die Aussagen des Beschwerdeführers betreffend die Tötung seiner Familie durch die Taliban als überaus zweifelhaft erachtet. Es erscheint äusserst unlogisch, dass er die Vorgänge anlässlich dieser Vorfälle, an wel- chen weder er selber noch andere Personen neben den angreifenden Taliban anwesend gewesen seien, derart detailliert beschreiben konnte, wie dies im erstinstanzlichen Verfahren protokolliert wurde (vgl. A15 ad F34; A19 ad F89 ff.). Auch im Zusammenhang mit der angeblichen Verfol- gung durch die Taliban in B._______ respektive der Tötung seiner Mutter verstrickt er sich in markante Wiedersprüche und Ungereimtheiten (vgl. A15 ad F30, A19 ad F40, A15 ad F32 und F34, A19 ad F58, F77 ff., und F93); mehrere Aussagen passte er im Verlauf der Befragungen zudem an (vgl. A19 ad F12 ff.; F33 ff., F41 ff.). Hinzu kommt, dass der Beschwerde- führer anlässlich der Erstbefragung angegeben hatte, er habe sich bereits im (…) 2014 einen Reisepass ausstellen lassen, weil er von Anfang an vorgehabt habe, hierherzukommen (vgl. A15 ad F47 ff.).</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E-4613/2022 Seite 10</w:t>
      </w:r>
    </w:p>
    <w:p>
      <w:r>
        <w:rPr>
          <w:b/>
        </w:rPr>
        <w:t>E. 8</w:t>
      </w:r>
    </w:p>
    <w:p>
      <w:r>
        <w:t>Nachdem das SEM in seiner Verfügung vom 12. September 2022 ange- sichts der Lage am Herkunftsort des Beschwerdeführers die Unzumutbar- keit des Wegweisungsvollzugs festgestellt und seine vorläufige Aufnahme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festgestellt hat (Art. 106 Abs. 1 AsylG). Für die eventua- liter beantragte Rückweisung der Sache an die Vorinstanz besteht keine Veranlassung. Die Beschwerde ist abzuweisen.</w:t>
      </w:r>
    </w:p>
    <w:p>
      <w:r>
        <w:rPr>
          <w:b/>
        </w:rPr>
        <w:t>E. 10.1</w:t>
      </w:r>
    </w:p>
    <w:p>
      <w:r>
        <w:t>Der Beschwerdeführer beantragt die Gewährung der unentgeltlichen Prozessführung. Aus den vorstehenden Erwägungen ergibt sich, dass seine Begehren aussichtslos waren, womit eine der kumulativ zu erfüllen- den Voraussetzungen gemäss Art. 65 Abs. 1 VwVG nicht gegeben und sein Gesuch abzuweisen ist. Bei diesem Ausgang des Verfahrens sind folglich die Kosten gemäss Art. 63 Abs. 1 VwVG dem Beschwerdeführer aufzuerlegen und auf insgesamt Fr. 750.– festzusetzen (Art. 1–3 des Reg- lements vom 21. Februar 2008 über die Kosten und Entschädigungen vor dem Bundesverwaltungsgericht [VGKE, SR 173.320.2]).</w:t>
      </w:r>
    </w:p>
    <w:p>
      <w:r>
        <w:rPr>
          <w:b/>
        </w:rPr>
        <w:t>E. 10.2</w:t>
      </w:r>
    </w:p>
    <w:p>
      <w:r>
        <w:t>Der Antrag auf Verzicht auf Erhebung eines Kostenvorschusses wird mit diesem Entscheid gegenstandslos.</w:t>
      </w:r>
    </w:p>
    <w:p>
      <w:r>
        <w:t>(Dispositiv nächste Seite)</w:t>
      </w:r>
    </w:p>
    <w:p>
      <w:r>
        <w:t>E-4613/2022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