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E-460/2016 vom 9. Februar 2016</w:t>
      </w:r>
    </w:p>
    <w:p>
      <w:r>
        <w:t>Bundesverwaltungsgericht, 2016-02-09, DE</w:t>
      </w:r>
    </w:p>
    <w:p>
      <w:r>
        <w:rPr>
          <w:b/>
        </w:rPr>
        <w:t xml:space="preserve">Quelle: </w:t>
      </w:r>
      <w:r>
        <w:t>https://mcp.opencaselaw.ch/entscheid/bvger_E-460_2016</w:t>
      </w:r>
    </w:p>
    <w:p>
      <w:r>
        <w:t>FR: TAF E-460/2016 du 9 février 2016</w:t>
      </w:r>
    </w:p>
    <w:p>
      <w:r>
        <w:t>IT: TAF E-460/2016 del 9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3.1</w:t>
      </w:r>
    </w:p>
    <w:p>
      <w:r>
        <w:t>Über offensichtlich unbegründete Beschwerden wird in einzelrichterlicher Zuständigkeit mit Zustimmung eines zweiten Richters entschieden (Art. 111 Bst. e AsylG). Vorliegend handelt es sich, wie nachfolgend aufgezeigt wird, um eine solche, weshalb das Urteil nur summarisch zu begründen ist (Art. 111a Abs. 2 AsylG),</w:t>
      </w:r>
    </w:p>
    <w:p>
      <w:r>
        <w:rPr>
          <w:b/>
        </w:rPr>
        <w:t>E. 3.2</w:t>
      </w:r>
    </w:p>
    <w:p>
      <w:r>
        <w:t>Gestützt auf Art. 111a Abs. 1 AsylG wurde vorliegend auf die Durchführung eines Schriftenwechsels verzichtet.</w:t>
      </w:r>
    </w:p>
    <w:p>
      <w:r>
        <w:rPr>
          <w:b/>
        </w:rPr>
        <w:t>E. 4</w:t>
      </w:r>
    </w:p>
    <w:p>
      <w:r>
        <w:t>Das Gesuch, den Beschwerdeführerinnen sei zu erlauben, das Verfahren in der Schweiz abzuwarten sowie das Ersuchen um Verzicht auf die Erhebung eines Kostenvorschusses werden mit dem vorliegenden Entscheid in der Sache gegenstandslos. 5.1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 5.2 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Der nach dieser Verordnung zuständige Mitgliedstaat ist verpflichtet, einen Antragsteller, der in einem anderen Mitgliedstaat einen Antrag gestellt hat, nach Massgabe der Art. 21, 22 und 29 Dublin-III-VO aufzunehmen (Art. 18 Abs. 1 Bst. a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Den vorliegenden Akten ist zu entnehmen, dass den Beschwerdeführerinnen von den spanischen Behörden am 8. April 2015 Schengenvisa ausgestellt wurden. Die spanischen Behörden stimmten dem Gesuch des SEM um Aufnahme der Beschwerdeführerin und ihrer Tochter am 8. Oktober 2015 gestützt auf Art. 12 Abs. 4 Dublin-III-VO schliesslich zu. Die grundsätzliche Zuständigkeit Spaniens ist somit gegeben, was von den Beschwerdeführerinnen auch nicht bestritten wird. Die Beschwerdeführerinnen monieren zu Recht auch nicht, es gäbe wesentliche Gründe für die Annahme, in Spanien wiesen das Asylverfahren und die Aufnahmebedingungen für Antragsteller systemische Schwachstellen auf, die eine Gefahr einer unmenschlichen oder entwürdigenden Behandlung im Sinne des Artikels 4 der EU-Grundrechtecharta mit sich bringen würden. Spanien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Hinweise dafür, dass sich das Land im konkreten vorliegenden Fall nicht an die daraus resultierenden Verpflichtungen halten würde. Ausserdem darf auch davon ausgegangen werden, dass Spanien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Es gibt insgesamt also keinen Grund anzunehmen, die spanischen Behörden würden sich weigern die Beschwerdeführerin und ihre Tochter aufzunehmen und ihren Antrag auf internationalen Schutz unter Einhaltung der Regeln der Verfahrensrichtlinie zu prüfen. Auch sind den Akten keine Gründe für die Annahme zu entnehmen, Spanien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Soweit die Beschwerdeführerin und ihre Tochter medizinischer Behandlung bedürftig wären ­- bis zum heutigen Zeitpunkt sind keine entsprechenden Beweismittel eingegangen ­­- kann mit dem SEM ohne weiteres davon ausgegangen werden, diese sei ihnen in Spanien zugänglich.</w:t>
      </w:r>
    </w:p>
    <w:p>
      <w:r>
        <w:rPr>
          <w:b/>
        </w:rPr>
        <w:t>E. 6.2</w:t>
      </w:r>
    </w:p>
    <w:p>
      <w:r>
        <w:t>Soweit die Beschwerdeführerin vorbringt, sie wolle in der Schweiz bleiben, weil sie hier Bekannte habe, die sie unterstützen könnten, ist vorab festzuhalten, dass die Dublin-III-VO den Schutzsuchenden kein Recht einräumt, den ihren Antrag prüfenden Staat selber auszuwählen (vgl. BVGE 2010/45 E. 8.3), zumal offensichtlich kein Abhängigkeitsverhältnis zu dieser Person dargetan wird. Die Beschwerdeführerinnen bringen dann im Wesentlichen sinngemäss vor, in ihren spezifischen Umständen seien Gründe gegeben, von der Überstellung abzusehen, insbesondere liefen sie Gefahr, Übergriffen seitens des spanischen Menschenhändlerrings ausgesetzt zu sein, dem sie bereits einmal entkommen seien. Unabhängig vom Umstand, dass die diesbezüglichen Vorbringen der Beschwerdeführerin äusserst oberflächlich und teilweise widersprüchlich ausgefallen sind, hält das SEM in der angefochtenen Verfügung zu Recht fest, die Beschwerdeführerin und ihre Tochter könnten sich in Spanien an die zuständigen Behörden wenden, gegebenenfalls auch an einschlägige Opferhilfestellen. Die äusserst pauschale Andeutung in der Stellungnahme vom 20. Oktober 2015, wonach es sich bei den Tätern um einflussreiche spanische Staatsangehörige handle, vermag daran nichts zu ändern, zumal die Beschwerdeführerin von der Gelegenheit, ihre Vorbringen zu konkretisieren in keiner Weise Gebrauch gemacht hat. Der auf Beschwerdeebene erhobene Einwand, die Beschwerdeführinnen hätten sich - entsprechend dem Einverständnis, an einem allfälligen Strafverfahren mitzuwirken - den schweizerischen Behörden zur Verfügung zu halten, verkennt im Übrigen, dass sich die Anfrage der Vorinstanz vom 17. Dezember 2015 auf ein allfällig strafrechtliches Verfahren in Spanien und einem diesbezüglich angestrebten behördlichen Informationsaustausch richtete. Das SEM wird im Übrigen - wie in der Verfügung angekündigt - im Rahmen der Überstellung die spanischen Behörden in Bezug auf die Vorbringen der Beschwerdeführerinnen vorgängig in geeigneter Weise informieren und allfälligen spezifischen Umständen insbesondere auch in Bezug auf die (...) Tochter Rechnung tragen. Abschliessend kann auf die äusserst ausführlichen Erwägungen in der angefochtenen Verfügung verwiesen werden, die sich als zutreffend erweisen. Es erübrigt sich, auf die weiteren Ausführungen in der Beschwerde einzugehen, weil sie an der zutreffenden Würdigung der Vorinstanz nichts zu ändern vermögen. Unter diesen Umständen ist die Anwendung von Art. 3 Abs. 2 Satz 2 Dublin-III-VO nicht gerechtfertigt.</w:t>
      </w:r>
    </w:p>
    <w:p>
      <w:r>
        <w:rPr>
          <w:b/>
        </w:rPr>
        <w:t>E. 6.3</w:t>
      </w:r>
    </w:p>
    <w:p>
      <w:r>
        <w:t>Was schliesslich die Ermessensklausel von Art. 17 Abs. 1 Dublin-III- VO betrifft, so ist diese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Das Bundesverwaltungsgericht greift nur ein, wenn das Staatsekretariat das ihm eingeräumte Ermessen über- beziehungsweise unterschreitet oder missbraucht und damit Bundesrecht verletzt. Das ist vorliegend, wo das SEM die massgeblichen Parameter des Einzelfalles in seine Prüfung einbezogen hat, nicht der Fall.</w:t>
      </w:r>
    </w:p>
    <w:p>
      <w:r>
        <w:rPr>
          <w:b/>
        </w:rPr>
        <w:t>E. 7</w:t>
      </w:r>
    </w:p>
    <w:p>
      <w:r>
        <w:t>Das SEM ist demnach zu Recht in Anwendung von Art. 31a Abs. 1 Bst. b AsylG auf das Asylgesuch der Beschwerdeführerinnen nicht eingetreten und hat die Überstellung nach Spanien angeordnet. Es liegen offensichtlich auch keine Gründe vor, welche eine Rückweisung an die Vorinstanz rechtfertigen würden.</w:t>
      </w:r>
    </w:p>
    <w:p>
      <w:r>
        <w:rPr>
          <w:b/>
        </w:rPr>
        <w:t>E. 8</w:t>
      </w:r>
    </w:p>
    <w:p>
      <w:r>
        <w:t>Die Beschwerde ist aus diesen Gründen abzuweisen und die Verfügung des SEM zu bestätigen.</w:t>
      </w:r>
    </w:p>
    <w:p>
      <w:r>
        <w:rPr>
          <w:b/>
        </w:rPr>
        <w:t>E. 9</w:t>
      </w:r>
    </w:p>
    <w:p>
      <w:r>
        <w:t>Der mit der Beschwerde gestellte Antrag auf Gewährung der unentgeltlichen Rechtspflege im Sinne von Art. 65 Abs. 1 VwVG ist unbesehen der bisher nicht nachgewiesenen prozessualen Bedürftigkeit abzuweisen, weil die Begehren - wie sich aus den vorstehenden Erwägungen ergibt - als aussichtlos zu bezeichnen sind, womit eine der kumulativ zu erfüllenden Voraussetzungen nicht gegeben ist. Die Verfahrenskosten von Fr. 600.-sind bei diesem Ausgang des Verfahrens damit den Beschwerdeführerinnen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