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E-4607/2021 vom 12. Januar 2022</w:t>
      </w:r>
    </w:p>
    <w:p>
      <w:r>
        <w:t>Bundesverwaltungsgericht, 2022-01-12, DE</w:t>
      </w:r>
    </w:p>
    <w:p>
      <w:r>
        <w:rPr>
          <w:b/>
        </w:rPr>
        <w:t xml:space="preserve">Quelle: </w:t>
      </w:r>
      <w:r>
        <w:t>https://mcp.opencaselaw.ch/entscheid/bvger_E-4607_2021</w:t>
      </w:r>
    </w:p>
    <w:p>
      <w:r>
        <w:t>FR: TAF E-4607/2021 du 12 janvier 2022</w:t>
      </w:r>
    </w:p>
    <w:p>
      <w:r>
        <w:t>IT: TAF E-4607/2021 del 12 gennaio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Bst.d Ziffer 1 BGG). Der Beschwerdeführer ist als Ver- fügungsadressat zur Beschwerdeführung legitimiert (Art. 48 Abs. 1 VwVG). Auf die frist- und formgerecht eingereichte Beschwerde ist einzutreten (Art. 108 Abs. 2 AsylG und Art. 52 Abs.1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E-4607/2021 Seite 5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Glaubhaftigkeit gemäss Art. 7 AsylG nicht stand. Namentlich sei sein gel- tend gemachtes politisches Engagement für die HDP unglaubhaft, da er hierzu keine substantiierten Angaben haben machen können, weder zu seinen konkreten Aktivitäten und den involvierten Personen noch den Zie- len der Partei. Bereits deshalb ergäben sich Zweifel, dass er wegen seines angeblichen politischen Engagements von Anhängern der «Grauen Wölfe» verfolgt worden sei. Weiter fehle es seinen Schilderungen zu den Ausei- nandersetzungen, insbesondere der Messerstecherei, an der nötigen Aus- führlichkeit, Realkennzeichen und individualisierten Anhaltspunkten. Aus- serdem sei das Nachtatverhalten nicht nachvollziehbar, indem er den Schutz der Behörden nicht in Anspruch genommen habe. Schliesslich habe er nicht berichten können, was nach dem besagten Vorfall mit seinen Verfolgern oder mit seinen anwesenden Freunden geschehen sei.</w:t>
      </w:r>
    </w:p>
    <w:p>
      <w:r>
        <w:rPr>
          <w:b/>
        </w:rPr>
        <w:t>E. 5.2</w:t>
      </w:r>
    </w:p>
    <w:p>
      <w:r>
        <w:t>Dem hält der Beschwerdeführer im Wesentlichen entgegen, er habe seine Probleme mit den «Grauen Wölfen» sehr genau und detailliert ge- schildert und die heimatlichen Behörden könnten ihn nicht schützen.</w:t>
      </w:r>
    </w:p>
    <w:p>
      <w:r>
        <w:rPr>
          <w:b/>
        </w:rPr>
        <w:t>E. 6.1</w:t>
      </w:r>
    </w:p>
    <w:p>
      <w:r>
        <w:t>Der Beschwerdeführer macht geltend, die Dolmetscherin habe nicht gut Deutsch gesprochen und die Person, welche den Asylentscheid ver- fasst habe, habe ihn nie persönlich gesehen und angehört. Zudem beab- sichtige er, seine Lebenspartnerin zu heiraten, und habe zu diesem Zweck bereits das Ehevorbereitungsverfahren eingeleitet. Die Vorinstanz habe Kenntnis von den Heiratsplänen gehabt und dies im Rahmen der Prüfung des Wegweisungsvollzugs dennoch nicht berücksichtigt. Damit macht er – sinngemäss – eine Verletzung des rechtlichen Gehörs geltend. Diese for- mellen Rügen sind vorab zu beurteilen, da sie zu einer Kassation der an- gefochtenen Verfügung führen könnten.</w:t>
      </w:r>
    </w:p>
    <w:p>
      <w:r>
        <w:rPr>
          <w:b/>
        </w:rPr>
        <w:t>E. 6.2</w:t>
      </w:r>
    </w:p>
    <w:p>
      <w:r>
        <w:t>Der unsubstantiierte Vorwurf der mangelhaften Deutschkenntnisse der Dolmetscherin findet keine Stütze in den Akten. Weder der Beschwerde- führer noch seine damalige Rechtsvertretung oder die befragende Person</w:t>
      </w:r>
    </w:p>
    <w:p>
      <w:r>
        <w:t>E-4607/2021 Seite 6 des SEM haben anlässlich der Anhörung eine diesbezügliche Beobach- tung gemacht, andernfalls sie dies moniert hätten und zumindest eine ent- sprechende Protokollnotiz hätten anbringen lassen, was sie jedoch nicht getan haben. Ausserdem wäre die Anhörung, namentlich für die befra- gende Person des SEM, im Falle mangelhafter Deutschkennnisse der Dol- metscherin nur schwierig durchzuführen gewesen, wofür jedoch keine An- haltspunkte ersichtlich sind. Das Anhörungsprotokoll wurde dem Be- schwerdeführer denn auch vollumfänglich rückübersetzt und er hat die Richtigkeit seiner protokollierten Aussagen unterschriftlich bestätigt. Die Durchführung der Anhörung ist somit nicht zu beanstanden. Ferner ist nicht ersichtlich und wird vom Beschwerdeführer auch nicht substantiiert geltend gemacht, inwiefern ihm aus der Behandlung seines Falles durch verschie- dene Personen ein konkreter Nachteil entstanden sein soll. Aus dem An- spruch auf rechtliches Gehör ergeben sich keine Vorgaben für die Vor- instanz, die Verfügung müsse durch die befragende Person, welche ihn persönlich gesehen und gehört hat, verfasst werden. Schliesslich ist auch nicht zu beanstanden, wenn die Vorinstanz seine Heiratspläne mit einer Schweizer Staatsbürgerin bei der Beurteilung seines Asylgesuchs nicht be- rücksichtigt hat. Ein Ehevorbereitungsverfahren vermag gemäss Praxis des Bundesverwaltungsgerichts keinen Anspruch auf Verbleib in der Schweiz zu begründen (vgl. Urteil des BVGer E-2398/2015 vom 29. April 2015 E. 5 und D-4347/2014 vom 16. September 2014, mit Verweisen), weshalb die Vorinstanz im Rahmen der Prüfung des Wegweisungsvollzugs zu Recht nicht darauf eingegangen ist, da es am Ergebnis der angefochte- nen Verfügung nichts geändert hätte. Die formellen Rügen gehen damit fehl. Es liegt keine Verletzung des rechtlichen Gehörs vor. Der Antrag auf Rückweisung der Sache an die Vorinstanz ist abzuweisen.</w:t>
      </w:r>
    </w:p>
    <w:p>
      <w:r>
        <w:rPr>
          <w:b/>
        </w:rPr>
        <w:t>E. 7.1</w:t>
      </w:r>
    </w:p>
    <w:p>
      <w:r>
        <w:t>Die Vorinstanz ist sodann in materieller Hinsicht zum zutreffenden Schluss gelangt, die Vorbringen des Beschwerdeführers würden den An- forderungen an das Glaubhaftmachen nach Art. 7 AsylG nicht standhalten. Es kann deshalb vorab auf die entsprechenden Erwägungen der Vor- instanz verwiesen werden. Die geltend gemachte Verfolgung durch Anhänger der «Grauen Wölfe» gründet gemäss seinen Aussagen primär auf seiner kurdischen Ethnie und insbesondere der politischen Tätigkeit für die HDP. Die Aussagen zu sei- nem politischen Engagement bei der HDP sind insgesamt jedoch ober- flächlich, unsubstantiiert und inhaltsleer. Er habe mit seinen Freunden im- mer wieder in der örtlichen Zentrale der HDP verkehrt und während der</w:t>
      </w:r>
    </w:p>
    <w:p>
      <w:r>
        <w:t>E-4607/2021 Seite 7 Wahlen Flyer verteilt und mit der Bevölkerung gesprochen (vgl. SEM-eAk- ten, 1089513-15/31, F99-102; F234). Weitergehende Angaben, namentlich zu den Strukturen, den vertretenen Wahlkampfthemen oder Aktivitäten der Partei, konnte er jedoch nicht machen. Auch seine eigene Position und Funktion innerhalb der HDP konnte er nicht überzeugend darlegen. Er gibt zwar an, Parteimitglied zu sein (vgl. SEM-eAkten, 1089513-15/31, F232) und über einen entsprechenden Mitgliederausweis in der Türkei zu verfü- gen (vgl. SEM-eAkten, 1089513-15/31, F201). Dies ist aber als blosse Par- teibehauptung zu qualifizieren, nachdem er bis heute kein Original oder zumindest eine Fotokopie des Ausweises zu den Akten reichte, obwohl er dies in Aussicht gestellt hat (vgl. SEM-eAkten, 1089513-15/31, F223). Aus- serdem macht er nicht geltend und es ist auch nicht ersichtlich, dass er in irgendeiner Form im Namen der Partei aktiv gewesen wäre und sich dies- bezüglich exponiert hätte. Was die geschilderten Auseinandersetzungen mit Anhängern der «Grauen Wölfe» betrifft, so ist mit der Vorinstanz fest- zustellen, dass es seinen Ausführungen an ausreichenden Realkennzei- chen fehlt und sie weitgehend oberflächlich ausfielen, obwohl die Vo- rinstanz ihn mehrmals dazu aufgefordert hat, die Vorfälle so detailliert wie möglich zu schildern (vgl. SEM-eAkten, 1089513-15/31, F118-F120). Na- mentlich den letzten Vorfall, bei dem es zu einer Messerstecherei gekom- men sein soll, schildert der Beschwerdeführer auffallend oberflächlich und weitgehend ohne jegliche Detailliertheit. Vier Personen hätten ihnen mit dem Auto den Weg versperrt und sie ohne jegliche Vorwarnung geschla- gen, woraufhin sein Freund ein Messer gezückt und auf zwei der Angreifer eingestochen habe (vgl. SEM-eAkten, 1089513-15/31, F135). Er vermag hier weder das Kerngeschehen detailliert darzulegen, noch sind seinen Ausführungen inhaltliche Besonderheiten wie etwa die Schilderung eigener psychischer Vorgänge oder ausgefallener Einzelheiten zu entnehmen, was angesichts eines solchen Ereignisses von gewisser Schwere – das letztlich den Grund für seine Flucht darstellte – jedoch zu erwarten gewesen wäre. Darüber hinaus erscheint das geschilderte Nachtatverhalten wenig nach- vollziehbar, wie die Vorinstanz zutreffend festhält. Namentlich ist es aus der Perspektive eines vernünftigen Dritten unverständlich, wenn der Be- schwerdeführer nach den geschilderten Angriffen durch Anhänger der «Grauen Wölfe» jeweils wieder in die örtliche Parteizentrale der HDP zu- rückgekehrt sein soll, zumal seine Verfolger ihn davor gewarnt hätten und dieser Ort und seine dortige Anwesenheit auch in der Vergangenheit stets eine Gefahrenquelle dargestellt habe (vgl. SEM-eAkten, 1089513-15/31, F236-239). Ausserdem ist nicht nachvollziehbar, weshalb der Beschwerde- führer nach den Vorfällen, insbesondere der Messerstecherei, zu keinem</w:t>
      </w:r>
    </w:p>
    <w:p>
      <w:r>
        <w:t>E-4607/2021 Seite 8 Zeitpunkt den Schutz der Behörden gesucht oder anderweitige Schutz- massnahmen getroffen hat. Seine diesbezügliche Begründung, man könne an keinem Ort um Hilfe ersuchen, da der Staat diese Menschen (Anmer- kung des Gerichts: die «Grauen Wölfe») unterstütze, ist eine blosse Par- teibehauptung, nicht glaubhaft und verfängt nicht (vgl. SEM-eAkten, 1089513-15/31, F244). Hinsichtlich der geltend gemachten Militärdienstverweigerung ist seinen diesbezüglichen Aussagen ebenso die Glaubhaftigkeit abzusprechen. Zu- nächst reichte der Beschwerdeführer weder ein entsprechendes Dienstauf- gebot noch ein sonstiges Beweismittel ein, welches das behauptete Dienstaufgebot an sich beweisen würde. Sodann ist lebensnah kaum vor- stellbar, dass er seit Erhalt dieses Dienstaufgebots im Jahr 2017 über drei Jahre unbehelligt seinem Leben und einer Arbeit nachging, ohne dass die Behörden in dieser Zeit irgendwelche tatsächliche Suchbemühungen an- gestellt und ihm im Jahr 2018 ohne jegliche Probleme gar einen Reisepass ausgestellt hätten (vgl. SEM-eAkten, 1089513-15/31, F230). Es ist davon auszugehen, dass der Beschwerdeführer als türkischer Staatsangehöriger im dienstpflichtigen Alter der allgemeinen, obligatorischen Dienstpflicht in seinem Heimatstaat untersteht. Vor dem Hintergrund seiner als unglaub- haft qualifizierten Aussagen ist es möglich, dass er den Militärdienst entge- gen seiner Aussagen absolviert hat oder aus anderweitigen Gründen von der Dienstpflicht dispensiert worden ist. Dies kann vorliegend jedoch offen- gelassen werden, da eine Wehrdienstverweigerung oder Desertion ge- mäss Rechtsprechung des Bundesverwaltungsgerichts nicht für sich allein, sondern nur dann die Flüchtlingseigenschaft zu begründen vermag, wenn damit eine Verfolgung im Sinne von Art. 3 Abs. 1 AsylG verbunden ist, mit anderen Worten die betroffene Person aus den in dieser Norm genannten Gründen wie Rasse, Religion, Nationalität, Zugehörigkeit zu einer be- stimmten sozialen Gruppe oder politische Anschauung wegen ihrer Wehr- dienstverweigerung oder Desertion eine Behandlung zu gewärtigen hat, die ernsthaften Nachteilen im Sinne von Art. 3 Abs. 2 AsylG gleichkommt (vgl. BVGE 2015/ E. 5). Im Übrigen macht der Beschwerdeführer nicht gel- tend, ihm drohe bei einer Rückkehr in die Türkei die Verhaftung oder Ver- folgung durch die heimatlichen Behörden, etwa aufgrund seiner angebli- chen Militärdienstverweigerung.</w:t>
      </w:r>
    </w:p>
    <w:p>
      <w:r>
        <w:rPr>
          <w:b/>
        </w:rPr>
        <w:t>E. 7.2</w:t>
      </w:r>
    </w:p>
    <w:p>
      <w:r>
        <w:t>Zusammenfassend ist festzuhalten, dass es dem Beschwerdeführer nicht gelungen ist, einen flüchtlingsrechtlich bedeutsamen Sachverhalt glaubhaft darzulegen. Die Vorinstanz hat das Asylgesuch zu Recht abge- lehnt.</w:t>
      </w:r>
    </w:p>
    <w:p>
      <w:r>
        <w:t>E-4607/2021 Seite 9</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(BVGE 2009/50 E. 9). Wie vorstehend aufgezeigt, kann auch aus der Ein- leitung eines Ehevorbereitungsverfahrens praxisgemäss kein Anspruch auf Verbleib in der Schweiz abgeleitet werden (vgl. E. 6.2). Die Wegwei- sung wurde demgemäss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Aus den Akten ergeben sich keine konkreten Anhaltspunkte dafür und der Beschwerdeführer macht auch nicht geltend, dass er für den Fall einer Aus- schaffung in die Türkei dort mit beachtlicher Wahrscheinlichkeit einer nach Art. 3 EMRK oder Art. 1 FoK verbotenen Strafe oder Behandlung ausge- setzt wäre. Der Vollzug der Wegweisung ist zulässig.</w:t>
      </w:r>
    </w:p>
    <w:p>
      <w:r>
        <w:t>E-4607/2021 Seite 10</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BVGer E-1716/2020 vom 22. April 2020 E. 7.4.1 und E-2181/2020 vom 17. Dezember 2020 E. 12.4.1 je m.H.).</w:t>
      </w:r>
    </w:p>
    <w:p>
      <w:r>
        <w:rPr>
          <w:b/>
        </w:rPr>
        <w:t>E. 9.3.2</w:t>
      </w:r>
    </w:p>
    <w:p>
      <w:r>
        <w:t>Sodann sind auch keine individuellen Gründe ersichtlich, die gegen einen Vollzug der Wegweisung sprechen würden. Wie die Vorinstanz zu- treffend festgestellt hat, ist der Beschwerdeführer ein junger, gesunder Mann mit einem vergleichsweise hohen Bildungsstandard und einigen Jah- ren Berufserfahrung. Ausserdem leben seine Eltern sowie sein Bruder und seine Schwester weiterhin in B._______ und verfügen dort über Wohnei- gentum sowie grosse Landwirtschaftsflächen, welche sie selbst bewirt- schaften und in finanzieller Hinsicht davon leben können (vgl. SEM-eAkten, 1089513-15/31, F68-F73). Auch hat der Beschwerdeführer noch eine grosse Anzahl an Verwandten in der Heimat (vgl. SEM-eAkten, 1089513- 15/31, F32-F34). Damit verfügt er über geeignete Voraussetzungen zur Reintegration sowohl in beruflicher wie auch in gesellschaftlicher und sozi- aler Hinsicht.</w:t>
      </w:r>
    </w:p>
    <w:p>
      <w:r>
        <w:t>Demgemäss erweist sich der Vollzug der Wegweisung in genereller und individueller Hinsicht als zumutbar.</w:t>
      </w:r>
    </w:p>
    <w:p>
      <w:r>
        <w:rPr>
          <w:b/>
        </w:rPr>
        <w:t>E. 9.4</w:t>
      </w:r>
    </w:p>
    <w:p>
      <w:r>
        <w:t>Schliesslich obliegt es dem Beschwerdeführer, sich bei der zuständi- gen Vertretung des Heimatsstaats die für eine Rückkehr notwendigen Rei- sedokumente zu beschaffen (vgl. Art. 8 Abs. 4 AsylG und dazu auch BVGE 2008/34 E. 12), weshalb der Vollzug der Wegweisung auch als möglich zu bezeichnen ist (Art. 83 Abs. 2 AIG).</w:t>
      </w:r>
    </w:p>
    <w:p>
      <w:r>
        <w:t>E-4607/2021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welches als aussichtslos zu bezeich- nen ist, sind die Kosten von Fr. 750.– dem Beschwerdeführer aufzuerlegen (Art. 37 VGG i.V.m. Art. 63 Abs. 1 VwVG; Art. 1 – 3 des Reglements vom 21. Februar 2008 über die Kosten und Entschädigungen vor dem Bundes- verwaltungsgericht [VGKE, SR 173.320.2]). Der am 11. November 2021 einbezahlte Kostenvorschuss ist zur Begleichung der Verfahrenskosten zu verwenden.</w:t>
      </w:r>
    </w:p>
    <w:p>
      <w:r>
        <w:t>(Dispositiv nächste Seite)</w:t>
      </w:r>
    </w:p>
    <w:p>
      <w:r>
        <w:t>E-4607/2021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