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E-45/2015 vom 9. Januar 2015</w:t>
      </w:r>
    </w:p>
    <w:p>
      <w:r>
        <w:t>Bundesverwaltungsgericht, 2015-01-09, DE</w:t>
      </w:r>
    </w:p>
    <w:p>
      <w:r>
        <w:rPr>
          <w:b/>
        </w:rPr>
        <w:t xml:space="preserve">Quelle: </w:t>
      </w:r>
      <w:r>
        <w:t>https://mcp.opencaselaw.ch/entscheid/bvger_E-45_2015</w:t>
      </w:r>
    </w:p>
    <w:p>
      <w:r>
        <w:t>FR: TAF E-45/2015 du 9 janvier 2015</w:t>
      </w:r>
    </w:p>
    <w:p>
      <w:r>
        <w:t>IT: TAF E-45/2015 del 9 gennaio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BFM auf ein Asylgesuch in der Regel nicht ein, wenn Asylsuchende in einen Drittstaat ausreisen können, welcher für die Durchführung des Asyl- und Wegweisungsverfahrens staatsvertraglich zuständig ist. Der Dublin-III-VO zufolge wird jeder Antrag von einem einzigen Mitgliedstaat geprüft, der nach den Kriterien des Kapitels III als zuständiger Staat bestimmt wird (Art. 3 Abs. 1, Satz 2). Nach Art. 18 Abs. 1 Bst. d Dublin-III-VO ist der zuständige Mitgliedstaat verpflichtet, einen Antragsteller, dessen Antrag abgelehnt wurde und der in einem anderen Mitgliedstaat einen Antrag gestellt hat, nach Massgabe von Art. 23, 24, 25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ein Abgleich der Fingerabdrücke mit der Zentraleinheit Eurodac habe ergeben, dass der Beschwerdeführer am 17. Oktober 2014 in Frankreich ein Asylgesuch eingereicht habe. Die französischen Behörden hätten ihr Ersuchen um Übernahme gestützt auf Art. 18 Abs. 1 Bst. d Dublin-III-VO gutgeheissen. Zuständig zur Durchführung des Asyl- und Wegweisungsverfahrens sei deshalb Frankreich. Frankreich sei weiterhin zuständig, auch wenn das Asylverfahren dort bereits rechtskräftig erledigt sei. Daran ändere auch die behauptete Aus- bzw. Wiedereinreise in das Hoheitsgebiet der Dublin-Staaten nichts. Hinweise dafür, dass Frankreich seinen völkerrechtlichen Verpflichtungen nicht nachkäme, lägen keine vor.</w:t>
      </w:r>
    </w:p>
    <w:p>
      <w:r>
        <w:rPr>
          <w:b/>
        </w:rPr>
        <w:t>E. 4.2</w:t>
      </w:r>
    </w:p>
    <w:p>
      <w:r>
        <w:t>Der Beschwerdeführer wendet dagegen einzig ein, nach dem negativen Asylentscheid sei er ordnungsgemäss aus Frankreich ausgereist und nach einem kurzweiligen Verbleib im Kosovo in die Schweiz eingereist mit neuen, anderen Asylgründen als im ehemaligen Verfahren in Frankreich. Er verkennt die Rechtslage. Auf die geltend gemachten Asylgründe kommt es im Wiederaufnahmeverfahren nicht an. Auch ist es unerheblich für die Pflicht zur Wiederaufnahme, ob das Asylverfahren bereits zu einem Abschluss gekommen ist oder nicht. Die Norm von Art. 18 Abs. 1 Dublin-III-VO erfasst nämlich beide Fälle. Sowohl den Fall, dass ein Antragsteller während der Prüfung seines Antrages sich in einem anderen Mitgliedstaat aufhält (Bst. b), als auch den Fall, dass er nach Ablehnung des gestellten Antrags in einem anderen Mitgliedstaat einen neuen Antrag stellt (Bst. d). In beiden Fällen wird die Zuständigkeit perpetuiert und die angefochtene Verfügung stützt sich richtigerweise auf die zuletzt genannte Bestimmung (Art. 18 Abs. 1 Bst. d Dublin-III-VO). Der Einwand des Beschwerdeführers geht fehl. Dass die Zuständigkeit im Sinne von Art. 19 Dublin-III-VO erloschen sei, macht er nicht geltend und ist auch nicht ersichtlich.</w:t>
      </w:r>
    </w:p>
    <w:p>
      <w:r>
        <w:rPr>
          <w:b/>
        </w:rPr>
        <w:t>E. 4.3</w:t>
      </w:r>
    </w:p>
    <w:p>
      <w:r>
        <w:t>Die Vorinstanz ist somit zutreffend von der Zuständigkeit Frankreichs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w:t>
      </w:r>
    </w:p>
    <w:p>
      <w:r>
        <w:rPr>
          <w:b/>
        </w:rPr>
        <w:t>E. 5</w:t>
      </w:r>
    </w:p>
    <w:p>
      <w:r>
        <w:t>Zusammenfassend verletzt die angefochtene Verfügung kein Bundesrecht und ist auch sonst nicht zu beanstanden (Art. 106 AsylG). Die Beschwerde ist abzuweisen.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Rechtspflege nach Art. 65 Abs. 1 und 2 VwVG nicht stattgegeben werden. Das Gesuch um Wiederherstellung der aufschiebenden Wirkung der Beschwerde ist mit dem vorliegenden Urteil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