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E-4598/2014 vom 5. Oktober 2015</w:t>
      </w:r>
    </w:p>
    <w:p>
      <w:r>
        <w:t>Bundesverwaltungsgericht, 2015-10-05, DE</w:t>
      </w:r>
    </w:p>
    <w:p>
      <w:r>
        <w:rPr>
          <w:b/>
        </w:rPr>
        <w:t xml:space="preserve">Quelle: </w:t>
      </w:r>
      <w:r>
        <w:t>https://mcp.opencaselaw.ch/entscheid/bvger_E-4598_2014</w:t>
      </w:r>
    </w:p>
    <w:p>
      <w:r>
        <w:t>FR: TAF E-4598/2014 du 5 octobre 2015</w:t>
      </w:r>
    </w:p>
    <w:p>
      <w:r>
        <w:t>IT: TAF E-4598/2014 del 5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begründete seinen ablehnenden Entscheid im Wesentlichen damit, der Beschwerdeführer habe geltend gemacht, aktiv für die Oppositionspartei HDK-I gewesen zu sein, indessen über keine grundlegenden Kenntnisse darüber verfügt. Zudem habe er nicht gewusst, wie häufig und wann zuletzt vor seiner Ausreise er für die Partei Flugblätter und Fotos verteilt habe. Bei der BzP habe er ferner angegeben, vom Sicherheitsdienst zwei- bis dreimal festgenommen worden zu sein, währenddem er bei der Anhörung von drei bis vier Festnahmen gesprochen habe, wobei er diesbezüglich auch keine zeitlichen Angaben habe machen können, was jedoch von ihm zu erwarten gewesen wäre. Weiter sei seine Darstellung, wonach seine zwei anderen Parteifreunde aus der Dreiergruppe im Iran weiterhin auf freiem Fuss seien und nur er gesucht werde, nicht nachvollziehbar. Überdies habe er erst bei der Anhörung geltend gemacht, dass ihn die Sicherheitsleute zehn Tage vor seiner Ausreise zu Hause gesucht hätten, weshalb diese Darstellung nachgeschoben und damit unglaubhaft sei. Schliesslich könnten die eingereichten Beweismittel - zwei Gerichtsvorladungen und ein Urteil - die Unstimmigkeiten nicht auflösen. Vielmehr würden diese zusätzliche Unstimmigkeiten schaffen. Es wäre zu erwarten gewesen, dass er die erste Vorladung, die ihm gemäss Vermerk am (...) 2010 ([...]1389) ausgehändigt worden sei, zu einem Zeitpunkt, in dem er sich noch zu Hause aufgehalten habe, bereits an der BzP vorbringe. Es sei auch nicht nachvollziehbar, dass er dieses Beweismittel sowie die weitere Vorladung, die am (...) 2011 ([...]1389) zugestellt worden sei, und das Gerichtsurteil, das am (...) 2011 ([...]1390) ausgehändigt worden sei, erst anlässlich der Anhörung am 12. August 2013 zu den Akten gegeben habe. Im Weiteren sei das eingereichte Urteil aus dem Internet heruntergeladen worden, was nicht dem behördlichen Vorgehen entspreche. Dies habe er bei dem ihm gewährten rechtlichen Gehör nicht erklären können. Der Vorinstanz sei bekannt, dass Dokumente der eingereichten Art leicht käuflich seien. Daher würden sie eingezogen.</w:t>
      </w:r>
    </w:p>
    <w:p>
      <w:r>
        <w:rPr>
          <w:b/>
        </w:rPr>
        <w:t>E. 5.2</w:t>
      </w:r>
    </w:p>
    <w:p>
      <w:r>
        <w:t>Der Beschwerdeführer hält dazu in seiner Rechtsmitteleingabe fest, er habe bezüglich der Anzahl der Parteimitglieder der PDK-I nicht irgendeine Zahl angeben wollen, da er dies nicht wisse. Er habe sich bezüglich seiner Aktivitäten sowie bezüglich der Anzahl Festnahmen nicht an alle Daten erinnern können und deshalb auch nicht irgendwelche genannt. Die im Laufe des Asylverfahrens eingereichten Beweismittel würden jedoch bezeugen, dass er sich tatsächlich für die PDK-I engagiert habe und deswegen gesucht werde. Zudem habe die Polizei nur ihn gekannt, da er bereits - u.a. wegen seines Aufenthaltes im Irak - früher in deren Visier geraten sei, und von seinen anderen zwei Parteikollegen nichts gewusst. Wäre er gefasst worden, hätte man ihn zu einer langjährigen Freiheitsstrafe verurteilt. Der Umgang des Mullah-Regimes mit Oppositionellen sei im eingereichten Bericht der SFH beschrieben. Im Weiteren habe er die eingereichten Beweismittel bei der BzP nicht genannt, da er zur Kürze angehalten worden und auch nicht danach gefragt worden sei. Diese habe er zudem so erhalten. Sie seien echt.</w:t>
      </w:r>
    </w:p>
    <w:p>
      <w:r>
        <w:rPr>
          <w:b/>
        </w:rPr>
        <w:t>E. 6.1</w:t>
      </w:r>
    </w:p>
    <w:p>
      <w:r>
        <w:t>Das Bundesverwaltungsgericht gelangt nach Prüfung der Akten zum Schluss, dass das Asylgesuch des Beschwerdeführers zu Recht abgewiesen worden ist. Wie bereits in der Zwischenverfügung vom 2. September 2014 ausführlich dargelegt, sind die Vorbringen des Beschwerdeführers zu wenig konkret, nicht nachvollziehbar und als nachgeschoben und damit als unglaubhaft zu bezeichnen. Auch kann der summarischen Befragung entnommen werden, dass der Beschwerdeführer Gelegenheit erhielt, seine Probleme in freier Form zu schildern, wovon er Gebrauch gemacht hat. Zudem verneinte er die ihm gestellten Fragen nach allfälligen weiteren Problemen mit Behörden oder Organisationen und nach Inhaftierungen und Gerichtsvorladungen (vgl. Akte A6 S. 5 ff). Dabei wäre von ihm zu erwarten gewesen, dass er die Gerichtsvorladung, die ihm am (...) 2010 zugestellt worden sei, erwähnt hätte, zumal er seinen Aussagen zufolge zu diesem Zeitpunkt noch zu Hause gewesen sein will. Abgesehen davon handelt es sich dabei wie bereits in der Zwischenverfügung dargelegt, um untaugliche Beweismittel. Das Bundesverwaltungsgericht hält an seiner dortigen materiellen Einschätzung nach eingehender Prüfung vollumfänglich fest. Daher kann auf die entsprechenden Erwägungen verwiesen werden, ebenso auf den vollständigen Inhalt der Erwägungen in der angefochtenen Verfügung des BFM.</w:t>
      </w:r>
    </w:p>
    <w:p>
      <w:r>
        <w:rPr>
          <w:b/>
        </w:rPr>
        <w:t>E. 6.2</w:t>
      </w:r>
    </w:p>
    <w:p>
      <w:r>
        <w:t>Zusammenfassend ergibt sich, dass der Beschwerdeführer keine Verfolgung im Sinne von Art. 3 AsylG nachzuweisen oder zumindest glaubhaft zu machen vermag und deshalb nicht als Flüchtling anerkannt werden kann. Die Vorinstanz hat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Asylsuchenden nach der diesbezüglich konstanten Praxis grundsätzlich als zumutbar erachtet.</w:t>
      </w:r>
    </w:p>
    <w:p>
      <w:r>
        <w:rPr>
          <w:b/>
        </w:rPr>
        <w:t>E. 8.4.2</w:t>
      </w:r>
    </w:p>
    <w:p>
      <w:r>
        <w:t>Aufgrund der Akten besteht kein Grund zur Annahme, der Beschwerdeführer gerate im Falle einer Rückkehr in den Iran aus individuellen Gründen wirtschaftlicher, sozialer oder gesundheitlicher Natur in eine existenzbedrohende Situation, die den Vollzug der Wegweisung unzumutbar machen würde. Er verfügt über neun Jahre Schulbildung sowie mehrjährige Berufserfahrung in der (...). Es ist nicht in Abrede zu stellen, dass der Beschwerdeführer bei einer Rückkehr in seinen Heimatstaat aufgrund der nahezu fünfjährigen Landesabwesenheit mit Anfangsschwierigkeiten konfrontiert sein könnte. Indessen leben seine Ehefrau und zwei Kinder sowie seine Eltern und mehrere Geschwister in seiner Heimatprovinz (vgl. Akten A6 S. 3 f. und A47 S. 13). Er verfügt somit im Iran über ein familiäres Beziehungsnetz, auf das er zurückgreifen kann und das ihm mindestens anfänglich beim Neuaufbau einer Existenz Hilfe bieten kann.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15. September 2014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