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E-4594/2025 vom 4. Juni 2025</w:t>
      </w:r>
    </w:p>
    <w:p>
      <w:r>
        <w:t>Bundesverwaltungsgericht, 2025-06-04, DE</w:t>
      </w:r>
    </w:p>
    <w:p>
      <w:r>
        <w:rPr>
          <w:b/>
        </w:rPr>
        <w:t xml:space="preserve">Quelle: </w:t>
      </w:r>
      <w:r>
        <w:t>https://mcp.opencaselaw.ch/entscheid/bvger_E-4594_2025_d20250604</w:t>
      </w:r>
    </w:p>
    <w:p>
      <w:r>
        <w:t>FR: TAF E-4594/2025 du 4 juin 2025</w:t>
      </w:r>
    </w:p>
    <w:p>
      <w:r>
        <w:t>IT: TAF E-4594/2025 del 4 giugno 2025</w:t>
      </w:r>
    </w:p>
    <w:p>
      <w:pPr>
        <w:pStyle w:val="Heading2"/>
      </w:pPr>
      <w:r>
        <w:t>Regeste</w:t>
      </w:r>
    </w:p>
    <w:p>
      <w:r>
        <w:t>Asyl und Wegweisung | Asyl und Wegweisung; Verfügung des SEM vom 4. Juni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E-4594/2025 Seite 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zur sog.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w:t>
      </w:r>
    </w:p>
    <w:p>
      <w:r>
        <w:t>Der Beschwerdeführer führt als Grund für seine Ausreise insbesondere die Verfolgung durch seine zwei Brüder aufgrund seiner Homosexualität an. Er habe innerhalb der Türkei immer wieder umziehen müssen. Zuletzt habe er in Ankara gewohnt, wo sein Haus durch eine (…) zerstört worden sei. Er habe die Wahl gehabt, entweder sein Haus wieder aufzubauen oder das Geld zur Ausreise aus der Türkei zu verwenden. Da er befürchtet habe, später nicht mehr über genügend Geld für einen weiteren Umzug zu verfü- gen, sollten die Brüder ihn in Ankara aufzuspüren, habe er sich für die Aus- reise entschieden. Auf Beschwerdeebene hebt der Beschwerdeführer im Wesentlichen die mangelnde Schutzfähigkeit und Schutzwilligkeit der tür- kischen Behörden aufgrund seiner Homosexualität hervor und weist auf eine bevorstehende Gesetzesrevision hin, welche die Situation für Homo- sexuelle in der Türkei verschlechtern werde. Der Gesetzesentwurf durch- laufe derzeit das Parlament. In der Türkei könnte eine Person, die öffentlich dazu ermutige, es lobe oder fördere, sich gegen das angeborene biologi- sche Geschlecht und die allgemeine Moral zu verhalten, künftig mit einer Freiheitsstrafe von bis zu drei Jahren bestraft werden. Der Entwurf sehe zudem Haftstrafen für nicht-heterosexuelle Paare von bis zu vier Jahren vor, wenn diese eine symbolische Hochzeit abhielten.</w:t>
      </w:r>
    </w:p>
    <w:p>
      <w:r>
        <w:t>E-4594/2025 Seite 5</w:t>
      </w:r>
    </w:p>
    <w:p>
      <w:r>
        <w:rPr>
          <w:b/>
        </w:rPr>
        <w:t>E. 6.1</w:t>
      </w:r>
    </w:p>
    <w:p>
      <w:r>
        <w:t>Der Beschwerdeführer rügt vorab in formeller Hinsicht eine Verletzung des rechtlichen Gehörs sowie des Untersuchungsgrundsatzes durch die Vorinstanz, weil diese seine Verfolgungssituation und die Ablehnung seiner Flüchtlingseigenschaft auf einen veralteten Sachverhalt respektive auf eine überholte Gesetzeslage in der Türkei abgestellt haben soll. Die Vorinstanz habe zur Begründung des angefochtenen Entscheids das Urteil des Bun- desverwaltungsgerichts D-4039/2020 vom 17. November 2020 herange- zogen, jedoch eine geplante Gesetzesänderung in der Türkei, welche die Rechte von homosexuellen Menschen einschränken soll, nicht berücksich- tigt. Sollte daran gezweifelt werden, dass er von der zu erwartenden Ge- setzesänderung betroffen wäre, müsse er ergänzend befragt werden.</w:t>
      </w:r>
    </w:p>
    <w:p>
      <w:r>
        <w:rPr>
          <w:b/>
        </w:rPr>
        <w:t>E. 6.2</w:t>
      </w:r>
    </w:p>
    <w:p>
      <w:r>
        <w:t>Die Rechtsprechung des Urteils D-4039/2020, wonach in der Türkei Homosexualität nach wie vor legal ist, nicht von einer generellen Verfol- gung von homosexuellen Personen ausgegangen werden kann und die türkischen Behörden auch gegenüber LGBTQI+-Personen schutzfähig und schutzwillig sind, bestätigte das Bundesverwaltungsgericht jüngst in meh- reren Urteilen (vgl. Urteile des BVGer E-4563/2025 vom 7. August 2025 E. 7.2; D-1690/2025 vom 15. Mai 2025 E. 7.2; D-364/2025 vom 4. März 2025 E. 6.2; D-8083/2024 vom 26. Februar 2025 E. 6.1; D-5566/2024 vom 1. November 2024 S. 9). Es ist also grundsätzlich nicht zu beanstanden, dass die Vorinstanz vorliegend auf das Urteil D-4039/2020 abgestellt hat.</w:t>
      </w:r>
    </w:p>
    <w:p>
      <w:r>
        <w:rPr>
          <w:b/>
        </w:rPr>
        <w:t>E. 6.3</w:t>
      </w:r>
    </w:p>
    <w:p>
      <w:r>
        <w:t>In Bezug auf die geltend gemachte Gesetzesänderung ist festzuhalten, dass diese aktuell noch nicht auf der Tagesordnung des türkischen Parla- ments steht (vgl. dazu unten E. 7.2). Dass die Vorinstanz diesen Gesetz- entwurf, dessen Inkraftsetzung und Umsetzung nach wie vor offen ist, in der Entscheidfindung nicht berücksichtigt hat, ist ihr daher nicht anzulas- ten. Sodann ist aus den Akten auch kein weiterer Abklärungsbedarf ersicht- lich. Auf eine ergänzende Anhörung des Beschwerdeführers zu allfälligen Auswirkungen des Gesetzentwurfes auf ihn persönlich kann nach dem Ge- sagten verzichtet werden (zur antizipierten Beweiswürdigung vgl. BGE 144 V 361 E. 6.5 m.H.; BVGE 2008/24 E. 7.2). Weder liegt eine Verletzung des rechtlichen Gehörs noch des Untersuchungsgrundsatzes vor.</w:t>
      </w:r>
    </w:p>
    <w:p>
      <w:r>
        <w:rPr>
          <w:b/>
        </w:rPr>
        <w:t>E. 6.4</w:t>
      </w:r>
    </w:p>
    <w:p>
      <w:r>
        <w:t>Die formelle Rüge des Beschwerdeführers geht daher insgesamt fehl und das Begehren auf Rückweisung der Sache an die Vorinstanz zwecks weiterer Abklärungen und zur Neubeurteilung ist abzuweisen. Soweit der Beschwerdeführer eine Verfahrensdauer von knapp zwei Jahren moniert,</w:t>
      </w:r>
    </w:p>
    <w:p>
      <w:r>
        <w:t>E-4594/2025 Seite 6 so ist ihm zwar darin zuzustimmen, dass eine solche eher lange ist, jedoch kann er daraus nichts zu seinen Gunsten ableiten. Anträge stellt er diesbe- züglich keine.</w:t>
      </w:r>
    </w:p>
    <w:p>
      <w:r>
        <w:rPr>
          <w:b/>
        </w:rPr>
        <w:t>E. 7</w:t>
      </w:r>
    </w:p>
    <w:p>
      <w:r>
        <w:t>Zu prüfen ist weiter die Flüchtlingseigenschaft des Beschwerdeführers und die Gewährung von Asyl.</w:t>
      </w:r>
    </w:p>
    <w:p>
      <w:r>
        <w:rPr>
          <w:b/>
        </w:rPr>
        <w:t>E. 7.1</w:t>
      </w:r>
    </w:p>
    <w:p>
      <w:r>
        <w:t>Zunächst ist festzuhalten, dass die geltend gemachte Homosexualität im Länderkontext der Türkei für die Begründung der Flüchtlingseigenschaft nicht hinreichend ist, zumal diese in der Türkei weder strafbar noch illegal ist (vgl. Urteile des BVGer D-1690/2025 E. 7.2; D-364/2025 E. 6.2; D-4039/2020 E. 7.7). Das Bundesverwaltungsgericht hat sich in den letz- ten Jahren wiederholt mit der Schutzfähigkeit und dem Schutzwillen der türkischen Behörden betreffend Personen, die der LGBTQI+-Gemeinschaft angehören, auseinandergesetzt. Dabei geht es grundsätzlich davon aus, dass die türkischen Behörden auch hinsichtlich homosexueller Personen schutzfähig und schutzwillig sind (vgl. zuletzt Urteil des BVGer E-4563/2025 E. 7.2). Daran vermag auch das allgemeine Vorbringen des Beschwerdeführers, der türkische Staatsapparat sei homophob, nichts zu ändern. Ihm ist es deshalb zuzumuten, sich wenn nötig, schutzsuchend an die heimatlichen Behörden zu wenden. Dies gilt auch für die geltend ge- machte Verfolgung durch seine Brüder. Seinen Aussagen zufolge hat er sich indes nie schutzsuchend an die türkischen Behörden gewendet. Ent- sprechend finden sich in den Akten keine Hinweise darauf, dass ihm ein staatlicher Schutz verweigert worden wäre.</w:t>
      </w:r>
    </w:p>
    <w:p>
      <w:r>
        <w:rPr>
          <w:b/>
        </w:rPr>
        <w:t>E. 7.2</w:t>
      </w:r>
    </w:p>
    <w:p>
      <w:r>
        <w:t>An der Schutzfähigkeit und Schutzwilligkeit vermag auch die ange- führte allfällige Gesetzesrevision nichts zu ändern. Gemäss Erkenntnissen des Bundesverwaltungsgerichts wurde dem türkischen Parlament zwar von der Partei HÜDA-PAR (Partei der freien Sache) ein Gesetzentwurf vor- gelegt, der die Rechte von LGBTQI+-Personen einschränken würde (vgl. International Lesbian, Gay, Bisexual, Trans and Intersex Association [ILGA World]: Turkey poised to further roll back LGBTI rights amid ongoing democratic crackdown, 03.06.2025, &lt; https://www.ilga-europe.org/ press-release/press-release-turkey-poised-to-further-roll-back-lgbti-rights- amid-ongoing-democratic-crackdown/ &gt;, abgerufen am 21.08.2025). Die- ser ist allerdings noch nicht auf der Tagesordnung des türkischen Parla- ments (vgl. KAOS GL: The Ministry of Health has imposed an age limit of 21 for trans people's hormone medications, 27.06.2025, &lt; https://kaosgl.org/en/single-news/the-ministry-of-health-has-imposed-</w:t>
      </w:r>
    </w:p>
    <w:p>
      <w:r>
        <w:t>E-4594/2025 Seite 7 an-age-limit-of-21-for-trans-people-s-hormone-medications &gt;, abgerufen am 21.08.2025). Damit bleiben die Annahme des Gesetzentwurfes und da- raus resultierende Konsequenzen rein hypothetisch. Ausserdem ist allein der Erlass von Rechtsvorschriften, nach denen homosexuelle Handlungen unter Strafe gestellt werden, noch nicht als Massnahme zu betrachten, die für Betroffene einer Verfolgung im Sinne von Art. 3 AsylG gleichkommt. Schliesslich legt der Beschwerdeführer in der Beschwerde auch nur sehr vage und mutmassend dar, inwiefern er durch den genannten Gesetzent- wurf aktuell überhaupt betroffen wäre respektive betroffen sein könnte.</w:t>
      </w:r>
    </w:p>
    <w:p>
      <w:r>
        <w:rPr>
          <w:b/>
        </w:rPr>
        <w:t>E. 7.3</w:t>
      </w:r>
    </w:p>
    <w:p>
      <w:r>
        <w:t>Im Weiteren sind mit der Vorinstanz Zweifel an der Glaubhaftigkeit der Aussagen des Beschwerdeführers im Zusammenhang mit den Drohnach- richten seiner Brüder vor der Ausreise anzubringen. Tatsächlich erscheint es wenig nachvollziehbar, dass er keine dieser Nachrichten gespeichert, oder in irgendeiner Weise dokumentiert hätte. Sodann ist auch insoweit mit der Vorinstanz einig zu gehen, als die HIV-Infektion, die zurückliegende Tätigkeit im Sexgewerbe und das öffentliche Facebook-Profil des Be- schwerdeführers (lautend auf einen anderen Namen, wo er in weiblicher Aufmachung zu sehen ist) asylrechtlich nicht relevant sind. Zur Vermeidung von Wiederholungen kann auf die diesbezüglichen Erwägungen in der an- gefochtenen Verfügung (vgl. Verfügung des SEM vom 4. Juni 2025 Ziff. II) verwiesen werden. Die Ausführungen in der Beschwerde vermögen der zu- treffenden vorinstanzlichen Einschätzung nichts Stichhaltiges entgegenzu- setzen.</w:t>
      </w:r>
    </w:p>
    <w:p>
      <w:r>
        <w:rPr>
          <w:b/>
        </w:rPr>
        <w:t>E. 7.4</w:t>
      </w:r>
    </w:p>
    <w:p>
      <w:r>
        <w:t>Zusammenfassend hat die Vorinstanz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E-4594/2025 Seite 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9.2.1</w:t>
      </w:r>
    </w:p>
    <w:p>
      <w:r>
        <w:t>Vorliegend werden mit dem Wegweisungsvollzug keine völkerrechtli- chen Verpflichtungen verletzt (Art. 83 Abs. 3 AIG) und es sind keine Hin- weise ersichtlich, dass der Beschwerdeführer im Heimatstaat Folter oder einer unmenschlichen oder erniedrigenden Strafe oder Behandlung unter- worfen wird (vgl. Art. 25 Abs. 3 BV, Art. 3 des Übereinkommens vom</w:t>
      </w:r>
    </w:p>
    <w:p>
      <w:r>
        <w:rPr>
          <w:b/>
        </w:rPr>
        <w:t>E. 9.2.2</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in der Türkei noch individuelle Gründe wirtschaftlicher oder sozialer Art lassen auf eine konkrete Gefährdung des Beschwerdeführers im Fall einer Rückkehr schliessen. Diesbezüglich kann vollumfänglich auf die überzeugenden vorinstanzlichen Ausführungen ver- wiesen werden (vgl. Verfügung des SEM vom 4. Juni 2025 Ziff. III/2). Der Beschwerdeführer leidet nach eigenen Angaben trotz seiner HIV-Infektion</w:t>
      </w:r>
    </w:p>
    <w:p>
      <w:r>
        <w:t>E-4594/2025 Seite 9 an keinen weiteren gesundheitlichen Beschwerden, verfügt über eine zehnjährige Schulbildung inklusive begonnenem (…) -Ausbildungsgymna- sium und Arbeitserfahrung betreffend die Arbeit in Supermärkten, Dolmet- schertätigkeiten sowie im Sexgewerbe. Zudem verfügt er über Freunde in der Türkei und damit über ein soziales Netzwerk, welches ihn nach der Rückkehr zumindest zu Beginn unterstützen kann. Zudem konnte der Be- schwerdeführer gemäss eigenen Angaben bereits vor seiner Zeit in Ankara für etwa ein Jahr bei einem Freund in D._______ wohnen. Zwar erscheint es nachvollziehbar, dass eine erneute Tätigkeit im Sexgewerbe offenkun- dig, nicht zuletzt auch aufgrund der HIV-Infektion und den damit verbunde- nen Risiken nicht möglich ist. Jedoch kann aus seinen Angaben und den Beschwerdebeilagen geschlossen werden, dass es ihm trotz seiner, be- reits seit dem Jahr (…) bestehenden HIV-Infektion möglich gewesen ist, über mehrere Jahre seinen Lebensunterhalt in der Türkei zu bestreiten. Zwar ist nicht von der Hand zu weisen, dass seine Arbeitssuche auch auf- grund der HIV-Infektion mit gewissen Schwierigkeiten verbunden sein könnte, dennoch ist nicht davon auszugehen, er gerate bei einer Rückkehr in die Türkei in eine existenzbedrohende Notlage. Schliesslich erscheint auch die medizinische Versorgung des Beschwerdeführers weiterhin gesi- chert. Damit erweist sich der Vollzug der Wegweisung als zumutbar.</w:t>
      </w:r>
    </w:p>
    <w:p>
      <w:r>
        <w:rPr>
          <w:b/>
        </w:rPr>
        <w:t>E. 9.4</w:t>
      </w:r>
    </w:p>
    <w:p>
      <w:r>
        <w:t>Der Vollzug der Wegweisung erweist sich gemäss Art. 83 Abs. 2 AIG auch als möglich, da es dem Beschwerdeführer obliegt, sich bei der zu- ständigen Vertretung des Heimatstaates die für eine Rückkehr notwendi- gen Reisedokumente zu beschaffen (vgl. Art. 8 Abs. 4 AsylG und dazu auch BVGE 2008/34 E. 12).</w:t>
      </w:r>
    </w:p>
    <w:p>
      <w:r>
        <w:rPr>
          <w:b/>
        </w:rPr>
        <w:t>E. 9.5</w:t>
      </w:r>
    </w:p>
    <w:p>
      <w:r>
        <w:t>Nach dem Gesagten ist der Vollzug der Wegweisung sowohl im Sinne der asyl- als auch der völkerrechtlichen Bestimmungen zulässig, zumutbar und möglich.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ist das Gesuch um Befreiung von der Kos- tenvorschusspflicht gegenstandslos geworden.</w:t>
      </w:r>
    </w:p>
    <w:p>
      <w:r>
        <w:t>E-4594/2025 Seite 10</w:t>
      </w:r>
    </w:p>
    <w:p>
      <w:r>
        <w:rPr>
          <w:b/>
        </w:rPr>
        <w:t>E. 11.2</w:t>
      </w:r>
    </w:p>
    <w:p>
      <w:r>
        <w:t>Die Gesuche um Gewährung der unentgeltlichen Prozessführung (Art. 65 Abs. 1 VwVG) und der unentgeltlichen Rechtsverbeiständung (Art. 102m AsylG) sind – ungeachtet der behaupteten Bedürftigkeit – ab- zuweisen, da sich die Beschwerdebegehren entsprechend den vorstehen- den Erwägungen von vornherein als aussichtslos erwiesen haben.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E-4594/2025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