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E-4590/2019 vom 17. September 2019</w:t>
      </w:r>
    </w:p>
    <w:p>
      <w:r>
        <w:t>Bundesverwaltungsgericht, 2019-09-17, DE</w:t>
      </w:r>
    </w:p>
    <w:p>
      <w:r>
        <w:rPr>
          <w:b/>
        </w:rPr>
        <w:t xml:space="preserve">Quelle: </w:t>
      </w:r>
      <w:r>
        <w:t>https://mcp.opencaselaw.ch/entscheid/bvger_E-4590_2019</w:t>
      </w:r>
    </w:p>
    <w:p>
      <w:r>
        <w:t>FR: TAF E-4590/2019 du 17 septembre 2019</w:t>
      </w:r>
    </w:p>
    <w:p>
      <w:r>
        <w:t>IT: TAF E-4590/2019 del 17 settembre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unter Vorbehalt - einzutreten.</w:t>
      </w:r>
    </w:p>
    <w:p>
      <w:r>
        <w:rPr>
          <w:b/>
        </w:rPr>
        <w:t>E. 1.3</w:t>
      </w:r>
    </w:p>
    <w:p>
      <w:r>
        <w:t>Weil die Beschwerde in Verwaltungssachen gemäss Art. 55 Abs. 1 VwVG aufschiebende Wirkung hat, ist auf das Eventualgesuch, diese sei wiederherzustellen mangels Rechtsschutzinteresse nicht einzutreten, zumal diese vom SEM auch nicht entzogen wurde.</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Beschwerdebegründung führt der Beschwerdeführer aus, das Migrationsamt des Kantons St. Gallen habe die Zumutbarkeit des Wegweisungsvollzugs nicht geprüft. Weil er gegen diesen Entscheid keine Beschwerde ergriffen habe, habe er später ein Asylgesuch beim SEM eingereicht. Er könne die Schweiz, wo er seit zehn Jahren lebe, nicht verlassen. Im Irak kenne er fast niemanden, alle seine Freunde seien hier. Es tue ihm leid, dass er die Behörden über seine Identität getäuscht habe, jedoch sei der angeordnete Vollzug der Wegweisung eine äusserst harte Massnahme. Ausserdem habe die Vorinstanz nicht geprüft, ob ein persönlicher Härtefall nach Art. 31 Abs. 1 der Verordnung über Zulassung, Aufenthalt und Erwerbstätigkeit (VZAE, SR 142.201) vorliege.</w:t>
      </w:r>
    </w:p>
    <w:p>
      <w:r>
        <w:rPr>
          <w:b/>
        </w:rPr>
        <w:t>E. 4.2</w:t>
      </w:r>
    </w:p>
    <w:p>
      <w:r>
        <w:t>Die vorliegende Eingabe richtet sich gemäss ihrer Begründung lediglich gegen den von der Vorinstanz verfügten Wegweisungsvollzug. Somit ist die Verfügung, soweit sie die Flüchtlingseigenschaft und das Asyl sowie die Wegweisung als solche betrifft (Ziff. 1 bis 3 des Verfügungsdispositivs der angefochtenen Verfügung), in Rechtskraft erwachsen. Damit ist einzig die Frage der Anordnung einer vorläufigen Aufnahme zu prüfen, zumal die Wegweisung als solche praxisgemäss nur aufgehoben werden kann, wenn eine Aufenthaltsbewilligung vorliegt oder ein Anspruch auf Erteilung einer solchen besteht (vgl. BVGE 2009/50 E. 9 m.w.H.), was vorliegend indes nicht der Fall ist.</w:t>
      </w:r>
    </w:p>
    <w:p>
      <w:r>
        <w:rPr>
          <w:b/>
        </w:rPr>
        <w:t>E. 4.3</w:t>
      </w:r>
    </w:p>
    <w:p>
      <w:r>
        <w:t>Bezüglich der Rüge, das SEM habe nicht geprüft, ob vorliegend ein Härtefall vorliegt, ist darauf hinzuweisen, dass die Härtefallregelung nach Art. 14 Abs. 2 AsylG eine Ausnahme zum Grundsatz der Ausschliesslichkeit des Asylverfahrens gegenüber dem ausländerrechtlichen Verfahren darstellt. Gemäss dieser Bestimmung kann der Aufenthaltskanton unter bestimmten Voraussetzungen eine Aufenthaltsbewilligung erteilen, wenn wegen fortgeschrittener Integration ein persönlicher Härtefall vorliegt. Vorliegend ist indes einzig die Verfügung des SEM vom 30. August 2019 betreffend Wegweisungsvollzug zu prüfen (vgl. E. 4.1). Härtefallvoraussetzungen (vgl. Art. 14 Abs. 2 AsylG i.V.m. Art. 31 VZAE) spielen in diesem Zusammenhang keine Rolle, weshalb auf diese im Weiteren nicht einzugehen ist.</w:t>
      </w:r>
    </w:p>
    <w:p>
      <w:r>
        <w:rPr>
          <w:b/>
        </w:rPr>
        <w:t>E. 5.1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die diesbezügliche Dispositivziffer bereits in Rechtskraft erwachsen ist, kann der in Art. 5 AsylG verankerte Grundsatz der Nichtrückschiebung im vorliegenden Verfahren keine Anwendung finden. Eine Rückkehr des Beschwerdeführers in den Heimatstaat ist demnach unter dem Aspekt von Art. 5 AsylG rechtmässig.</w:t>
      </w:r>
    </w:p>
    <w:p>
      <w:r>
        <w:rPr>
          <w:b/>
        </w:rPr>
        <w:t>E. 5.2.3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5.3.1</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aber über Beziehungen zu den herrschenden Parteien verfügt (vgl. BVGE 2008/5 E. 7.5 insbes. E. 7.5.1 und 7.5.8). Diese Praxis wurde in den folgenden Jahren durch das Bundesverwaltungsgericht bekräftigt. Im Referenzurteil E-3737/2015 vom 14. Dezember 2015 wurde die Lage im Nordirak und die Zumutbarkeitspraxis neuerlich überprüft. Es wurde festgestellt, dass in den vier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welchem offenbar eine Mehrheit der Kurden für die Unabhängigkeit vom Irak votierte. Der Wegweisungsvollzug in die ARK ist damit nach wie vor als grundsätzlich zumutbar zu bezeichnen. Den begünstigenden individuellen Faktoren - insbesondere denjenigen eines tragfähigen Beziehungsnetzes - ist angesichts der Belastung der behördlichen Infrastrukturen durch im Irak intern Vertriebene («Internally Displaced Persons» [IDP]) gleichwohl ein besonderes Gewicht beizumessen (vgl. statt vieler das Urteil des BVGer D-1927/2019 vom 23. Mai 2019 E. 8.4 m.w.H.).</w:t>
      </w:r>
    </w:p>
    <w:p>
      <w:r>
        <w:rPr>
          <w:b/>
        </w:rPr>
        <w:t>E. 5.3.2</w:t>
      </w:r>
    </w:p>
    <w:p>
      <w:r>
        <w:t>Der Beschwerdeführer stammt aus der Hauptstadt Erbil, wo er bis zu seiner Ausreise lebte und seine Familie - konkret Geschwister wie auch seine Eltern - auch heute noch wohnhaft ist. Zu ihnen hat er nach wie vor, wenn auch selten, Kontakt. Folglich verfügt er trotz einer zehnjährigen Landesabwesenheit über ein familiäres Beziehungsnetz in der Heimatregion. Sodann handelt es sich beim (...)-jährigen Beschwerdeführer um einen gesunden Mann ohne familiäre Verpflichtungen. Er hat vor seiner Ausreise aus seiner Heimat auf dem (...)amt gearbeitet und hat eine Ausbildung in den Bereichen Buchhaltung und Wirtschaft. Auch in der Schweiz sei er ständig erwerbstätig gewesen, so dass angenommen werden kann, er verfügt über genügende Arbeitserfahrung, welche ihm bei einer Wiedereingliederung helfen wird. Es wird folglich davon ausgegangen, dass er sich auch künftig in der ARK seinen Lebensunterhalt selbständig sichern kann. Es gibt bei dieser Aktenlage keinen Grund zur Annahme, der Beschwerdeführer würde bei seiner Rückkehr in eine existenzbedrohende Situation geraten. Die vom Beschwerdeführer vorgebrachte gute Integration seiner Person in der Schweiz ist vorliegend unbeachtlich (vgl. auch E. 4.3). Bei erwachsenen Personen liegt gestützt auf den Gesetzestext der Fokus der Zumutbarkeitsprüfung bei einer möglichen Gefährdungssituation der schutzsuchenden Person in ihrem «Heimat- oder Herkunftsland» (Art. 83 Abs. 4 AIG); nur bei Kindern spielt mit Blick auf das Kindeswohl auch die Entwurzelung aus der Schweiz eine Rolle (vgl. dazu BVGE 2015/30 E. 7.2).</w:t>
      </w:r>
    </w:p>
    <w:p>
      <w:r>
        <w:rPr>
          <w:b/>
        </w:rPr>
        <w:t>E. 5.3.3</w:t>
      </w:r>
    </w:p>
    <w:p>
      <w:r>
        <w:t>Nach dem Gesagten erweist sich der Vollzug der Wegweisung auch als zumutbar.</w:t>
      </w:r>
    </w:p>
    <w:p>
      <w:r>
        <w:rPr>
          <w:b/>
        </w:rPr>
        <w:t>E. 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angemessen ist (Art. 49 VwVG). Die Beschwerde ist abzuweisen, soweit darauf einzutreten ist.</w:t>
      </w:r>
    </w:p>
    <w:p>
      <w:r>
        <w:rPr>
          <w:b/>
        </w:rPr>
        <w:t>E. 7.1</w:t>
      </w:r>
    </w:p>
    <w:p>
      <w:r>
        <w:t>Mit dem vorliegenden Urteil ist der Antrag auf Verzicht der Erhebung eines Kostenvorschusses gegenstandslos geworden.</w:t>
      </w:r>
    </w:p>
    <w:p>
      <w:r>
        <w:rPr>
          <w:b/>
        </w:rPr>
        <w:t>E. 7.2</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das Gesuch abzulehnen ist. Daher ist auch dem Gesuch um Beiordnung einer amtlichen Rechtsvertretung nicht stattzugeben.</w:t>
      </w:r>
    </w:p>
    <w:p>
      <w:r>
        <w:rPr>
          <w:b/>
        </w:rPr>
        <w:t>E. 7.3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