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E-4590/2011 vom 3. Dezember 2013</w:t>
      </w:r>
    </w:p>
    <w:p>
      <w:r>
        <w:t>Bundesverwaltungsgericht, 2013-12-03, DE</w:t>
      </w:r>
    </w:p>
    <w:p>
      <w:r>
        <w:rPr>
          <w:b/>
        </w:rPr>
        <w:t xml:space="preserve">Quelle: </w:t>
      </w:r>
      <w:r>
        <w:t>https://mcp.opencaselaw.ch/entscheid/bvger_E-4590_2011</w:t>
      </w:r>
    </w:p>
    <w:p>
      <w:r>
        <w:t>FR: TAF E-4590/2011 du 3 décembre 2013</w:t>
      </w:r>
    </w:p>
    <w:p>
      <w:r>
        <w:t>IT: TAF E-4590/2011 del 3 dicembre 2013</w:t>
      </w:r>
    </w:p>
    <w:p>
      <w:pPr>
        <w:pStyle w:val="Heading2"/>
      </w:pPr>
      <w:r>
        <w:t>Regeste</w:t>
      </w:r>
    </w:p>
    <w:p>
      <w:r>
        <w:t>Asyl und Wegweisung</w:t>
      </w:r>
    </w:p>
    <w:p>
      <w:pPr>
        <w:pStyle w:val="Heading2"/>
      </w:pPr>
      <w:r>
        <w:t>Erwägungen</w:t>
      </w:r>
    </w:p>
    <w:p>
      <w:r>
        <w:rPr>
          <w:b/>
        </w:rPr>
        <w:t>E. 2</w:t>
      </w:r>
    </w:p>
    <w:p>
      <w:r>
        <w:t>Die Beschwerde ist im Verfahren einzelrichterlicher Zuständigkeit mit Zustimmung einer zweiten Richterin zu behandeln, weil sie sich im Ergebnis als offensichtlich begründet erweist (Art. 111 Bst. e AsylG).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Medienmitteilungen des BFM vom 3. Oktober 2013 und 4. September 2013).</w:t>
      </w:r>
    </w:p>
    <w:p>
      <w:r>
        <w:rPr>
          <w:b/>
        </w:rPr>
        <w:t>E. 3.2</w:t>
      </w:r>
    </w:p>
    <w:p>
      <w:r>
        <w:t>Die Vorinstanz geht damit selbst davon aus, dass der Sachverhalt, wie er der Verfügung vom 6. Juli 2011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 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Fehlende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E. 4.6 S. 8).</w:t>
      </w:r>
    </w:p>
    <w:p>
      <w:r>
        <w:rPr>
          <w:b/>
        </w:rPr>
        <w:t>E. 3.3</w:t>
      </w:r>
    </w:p>
    <w:p>
      <w:r>
        <w:t>Die vorliegend notwendigen Abklärungen stellen eine relativ aufwändige und umfangreiche Beweiserhebung dar, weshalb die Kassation der angefochtenen Verfügung angezeigt ist. Die Beschwerde ist demnach insoweit gutzuheissen. Die angefochtene Verfügung ist aufzuheben,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des Beschwerdeführers ist bei diesem Verfahrensgang nicht weiter einzugehen.</w:t>
      </w:r>
    </w:p>
    <w:p>
      <w:r>
        <w:rPr>
          <w:b/>
        </w:rPr>
        <w:t>E. 4.1</w:t>
      </w:r>
    </w:p>
    <w:p>
      <w:r>
        <w:t>Bei diesem Ausgang des Verfahrens sind keine Kosten zu erheben (Art. 63 Abs. 1 und 2 VwVG).</w:t>
      </w:r>
    </w:p>
    <w:p>
      <w:r>
        <w:rPr>
          <w:b/>
        </w:rPr>
        <w:t>E. 4.2</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die notwendigen Parteikosten (unter Berücksichtigung der massgebenden Bemessungsfaktoren, vgl. Art. 9-13 VGKE) aufgrund der Akten auf insgesamt Fr. 1'000.- (inkl. Auslagen und Mehrwertsteuer) festzusetzen sind (Art. 14 Abs. 2 Satz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